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fc32a4c284d5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Stanford, MacEwen, Blake, Vick, Kirby, Young, Reeves, and Appleton)</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agreements between licensed marijuana businesses and other people and businesses, including royalty and licensing agreements relating to the use of intellectual property; and amending RCW 69.50.395.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2017 c 317 s 16 are each amended to read as follows:</w:t>
      </w:r>
    </w:p>
    <w:p>
      <w:pPr>
        <w:spacing w:before="0" w:after="0" w:line="408" w:lineRule="exact"/>
        <w:ind w:left="0" w:right="0" w:firstLine="576"/>
        <w:jc w:val="left"/>
      </w:pPr>
      <w:r>
        <w:rPr/>
        <w:t xml:space="preserve">(1) A licensed marijuana business may enter into </w:t>
      </w:r>
      <w:r>
        <w:t>((</w:t>
      </w:r>
      <w:r>
        <w:rPr>
          <w:strike/>
        </w:rPr>
        <w:t xml:space="preserve">a licensing agreement, or consulting contract, with any individual, partnership, employee cooperative, association, nonprofit corporation, or corporation,</w:t>
      </w:r>
      <w:r>
        <w:t>))</w:t>
      </w:r>
      <w:r>
        <w:rPr/>
        <w:t xml:space="preserve"> </w:t>
      </w:r>
      <w:r>
        <w:rPr>
          <w:u w:val="single"/>
        </w:rPr>
        <w:t xml:space="preserve">an agreement with any person, business, or other entity</w:t>
      </w:r>
      <w:r>
        <w:rPr/>
        <w:t xml:space="preserve"> for:</w:t>
      </w:r>
    </w:p>
    <w:p>
      <w:pPr>
        <w:spacing w:before="0" w:after="0" w:line="408" w:lineRule="exact"/>
        <w:ind w:left="0" w:right="0" w:firstLine="576"/>
        <w:jc w:val="left"/>
      </w:pPr>
      <w:r>
        <w:rPr/>
        <w:t xml:space="preserve">(a) Any goods or services that are registered as a trademark under federal law </w:t>
      </w:r>
      <w:r>
        <w:t>((</w:t>
      </w:r>
      <w:r>
        <w:rPr>
          <w:strike/>
        </w:rPr>
        <w:t xml:space="preserve">or</w:t>
      </w:r>
      <w:r>
        <w:t>))</w:t>
      </w:r>
      <w:r>
        <w:rPr>
          <w:u w:val="single"/>
        </w:rPr>
        <w:t xml:space="preserve">,</w:t>
      </w:r>
      <w:r>
        <w:rPr/>
        <w:t xml:space="preserve"> under chapter 19.77 RCW</w:t>
      </w:r>
      <w:r>
        <w:rPr>
          <w:u w:val="single"/>
        </w:rPr>
        <w:t xml:space="preserve">, or under any other state or international trademark law</w:t>
      </w:r>
      <w:r>
        <w:rPr/>
        <w:t xml:space="preserve">;</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w:t>
      </w:r>
      <w:r>
        <w:t>((</w:t>
      </w:r>
      <w:r>
        <w:rPr>
          <w:strike/>
        </w:rPr>
        <w:t xml:space="preserve">a</w:t>
      </w:r>
      <w:r>
        <w:t>))</w:t>
      </w:r>
      <w:r>
        <w:rPr/>
        <w:t xml:space="preserve"> </w:t>
      </w:r>
      <w:r>
        <w:rPr>
          <w:u w:val="single"/>
        </w:rPr>
        <w:t xml:space="preserve">any</w:t>
      </w:r>
      <w:r>
        <w:rPr/>
        <w:t xml:space="preserve"> marijuana business.</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Any</w:t>
      </w:r>
      <w:r>
        <w:rPr/>
        <w:t xml:space="preserve"> agreements </w:t>
      </w:r>
      <w:r>
        <w:t>((</w:t>
      </w:r>
      <w:r>
        <w:rPr>
          <w:strike/>
        </w:rPr>
        <w:t xml:space="preserve">or contracts</w:t>
      </w:r>
      <w:r>
        <w:t>))</w:t>
      </w:r>
      <w:r>
        <w:rPr/>
        <w:t xml:space="preserve"> entered into by a licensed marijuana business, as authorized under this section, must be disclosed to the state liquor and cannabis board </w:t>
      </w:r>
      <w:r>
        <w:rPr>
          <w:u w:val="single"/>
        </w:rPr>
        <w:t xml:space="preserve">and may include:</w:t>
      </w:r>
    </w:p>
    <w:p>
      <w:pPr>
        <w:spacing w:before="0" w:after="0" w:line="408" w:lineRule="exact"/>
        <w:ind w:left="0" w:right="0" w:firstLine="576"/>
        <w:jc w:val="left"/>
      </w:pPr>
      <w:r>
        <w:rPr>
          <w:u w:val="single"/>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ten percent of the licensed marijuana business's gross sales derived from the sale of such product;</w:t>
      </w:r>
    </w:p>
    <w:p>
      <w:pPr>
        <w:spacing w:before="0" w:after="0" w:line="408" w:lineRule="exact"/>
        <w:ind w:left="0" w:right="0" w:firstLine="576"/>
        <w:jc w:val="left"/>
      </w:pPr>
      <w:r>
        <w:rPr>
          <w:u w:val="single"/>
        </w:rPr>
        <w:t xml:space="preserve">(b) A flat rate or lump sum calculated based on time or milestones;</w:t>
      </w:r>
    </w:p>
    <w:p>
      <w:pPr>
        <w:spacing w:before="0" w:after="0" w:line="408" w:lineRule="exact"/>
        <w:ind w:left="0" w:right="0" w:firstLine="576"/>
        <w:jc w:val="left"/>
      </w:pPr>
      <w:r>
        <w:rPr>
          <w:u w:val="single"/>
        </w:rPr>
        <w:t xml:space="preserve">(c) Terms giving either party exclusivity or qualified exclusivity as it relates to use of the intellectual property;</w:t>
      </w:r>
    </w:p>
    <w:p>
      <w:pPr>
        <w:spacing w:before="0" w:after="0" w:line="408" w:lineRule="exact"/>
        <w:ind w:left="0" w:right="0" w:firstLine="576"/>
        <w:jc w:val="left"/>
      </w:pPr>
      <w:r>
        <w:rPr>
          <w:u w:val="single"/>
        </w:rPr>
        <w:t xml:space="preserve">(d) Quality control standards as necessary to protect the integrity of the intellectual property;</w:t>
      </w:r>
    </w:p>
    <w:p>
      <w:pPr>
        <w:spacing w:before="0" w:after="0" w:line="408" w:lineRule="exact"/>
        <w:ind w:left="0" w:right="0" w:firstLine="576"/>
        <w:jc w:val="left"/>
      </w:pPr>
      <w:r>
        <w:rPr>
          <w:u w:val="single"/>
        </w:rPr>
        <w:t xml:space="preserve">(e) Enforcement obligations to be undertaken by the licensed marijuana business;</w:t>
      </w:r>
    </w:p>
    <w:p>
      <w:pPr>
        <w:spacing w:before="0" w:after="0" w:line="408" w:lineRule="exact"/>
        <w:ind w:left="0" w:right="0" w:firstLine="576"/>
        <w:jc w:val="left"/>
      </w:pPr>
      <w:r>
        <w:rPr>
          <w:u w:val="single"/>
        </w:rPr>
        <w:t xml:space="preserve">(f) Covenants to use the licensed intellectual property; and</w:t>
      </w:r>
    </w:p>
    <w:p>
      <w:pPr>
        <w:spacing w:before="0" w:after="0" w:line="408" w:lineRule="exact"/>
        <w:ind w:left="0" w:right="0" w:firstLine="576"/>
        <w:jc w:val="left"/>
      </w:pPr>
      <w:r>
        <w:rPr>
          <w:u w:val="single"/>
        </w:rPr>
        <w:t xml:space="preserve">(g) Assignment of licensor improvements of the intellectual property.</w:t>
      </w:r>
    </w:p>
    <w:p>
      <w:pPr>
        <w:spacing w:before="0" w:after="0" w:line="408" w:lineRule="exact"/>
        <w:ind w:left="0" w:right="0" w:firstLine="576"/>
        <w:jc w:val="left"/>
      </w:pPr>
      <w:r>
        <w:rPr>
          <w:u w:val="single"/>
        </w:rPr>
        <w:t xml:space="preserve">(3) A person, business, or entity that enters into an agreement with a licensed marijuana business, where both parties to the agreement are in compliance with the terms of this section, is exempt from the requirement to qualify for a marijuana business license for purposes of the agreements authorized by subsection (1) of this section</w:t>
      </w:r>
      <w:r>
        <w:rPr>
          <w:u w:val="single"/>
        </w:rPr>
        <w:t xml:space="preserve">.</w:t>
      </w:r>
    </w:p>
    <w:p>
      <w:pPr>
        <w:spacing w:before="0" w:after="0" w:line="408" w:lineRule="exact"/>
        <w:ind w:left="0" w:right="0" w:firstLine="576"/>
        <w:jc w:val="left"/>
      </w:pPr>
      <w:r>
        <w:rPr>
          <w:u w:val="single"/>
        </w:rPr>
        <w:t xml:space="preserve">(4) All agreements entered into by a licensed marijuana business, as authorized by this section, are subject to the liquor and cannabis board's recordkeeping requirements as established by rule</w:t>
      </w:r>
      <w:r>
        <w:rPr/>
        <w:t xml:space="preserve">.</w:t>
      </w:r>
    </w:p>
    <w:p/>
    <w:p>
      <w:pPr>
        <w:jc w:val="center"/>
      </w:pPr>
      <w:r>
        <w:rPr>
          <w:b/>
        </w:rPr>
        <w:t>--- END ---</w:t>
      </w:r>
    </w:p>
    <w:sectPr>
      <w:pgNumType w:start="1"/>
      <w:footerReference xmlns:r="http://schemas.openxmlformats.org/officeDocument/2006/relationships" r:id="Rbbeb141a19344b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f9172936b746f5" /><Relationship Type="http://schemas.openxmlformats.org/officeDocument/2006/relationships/footer" Target="/word/footer1.xml" Id="Rbbeb141a19344bf4" /></Relationships>
</file>