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1612f27644535" /></Relationships>
</file>

<file path=word/document.xml><?xml version="1.0" encoding="utf-8"?>
<w:document xmlns:w="http://schemas.openxmlformats.org/wordprocessingml/2006/main">
  <w:body>
    <w:p>
      <w:r>
        <w:t>H-2162.1</w:t>
      </w:r>
    </w:p>
    <w:p>
      <w:pPr>
        <w:jc w:val="center"/>
      </w:pPr>
      <w:r>
        <w:t>_______________________________________________</w:t>
      </w:r>
    </w:p>
    <w:p/>
    <w:p>
      <w:pPr>
        <w:jc w:val="center"/>
      </w:pPr>
      <w:r>
        <w:rPr>
          <w:b/>
        </w:rPr>
        <w:t>SUBSTITUTE HOUSE BILL 1793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Fitzgibbon, Pettigrew, Macri, Valdez, Fey, Cody, Senn, Springer, Pollet, and Tarleton)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additional uses for automated traffic safety cameras for traffic congestion reduction and increased safety; and amending RCW 46.63.170.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w:t>
      </w:r>
      <w:r>
        <w:t>((</w:t>
      </w:r>
      <w:r>
        <w:rPr>
          <w:strike/>
        </w:rPr>
        <w:t xml:space="preserve">,</w:t>
      </w:r>
      <w:r>
        <w:t>))</w:t>
      </w:r>
      <w:r>
        <w:rPr/>
        <w:t xml:space="preserve"> </w:t>
      </w:r>
      <w:r>
        <w:rPr>
          <w:u w:val="single"/>
        </w:rPr>
        <w:t xml:space="preserve">violations;</w:t>
      </w:r>
      <w:r>
        <w:rPr/>
        <w:t xml:space="preserve"> railroad crossing</w:t>
      </w:r>
      <w:r>
        <w:t>((</w:t>
      </w:r>
      <w:r>
        <w:rPr>
          <w:strike/>
        </w:rPr>
        <w:t xml:space="preserve">, or</w:t>
      </w:r>
      <w:r>
        <w:t>))</w:t>
      </w:r>
      <w:r>
        <w:rPr/>
        <w:t xml:space="preserve"> </w:t>
      </w:r>
      <w:r>
        <w:rPr>
          <w:u w:val="single"/>
        </w:rPr>
        <w:t xml:space="preserve">violations;</w:t>
      </w:r>
      <w:r>
        <w:rPr/>
        <w:t xml:space="preserve"> school speed zone violations; or speed violations subject to (c) of this subsection. </w:t>
      </w:r>
      <w:r>
        <w:rPr>
          <w:u w:val="single"/>
        </w:rPr>
        <w:t xml:space="preserve">In cities with populations greater than five hundred thousand people, automated traffic safety cameras may also be used to detect one or more of the following violations: Stopping when traffic obstructed violations; stopping at intersection or crosswalk violations; public transportation only lane violations; and stopping, standing, or parking violations at locations restricted for emergency response vehicle entry or exit or the boarding or disembarking of public transportation vehicles, including public ferries.</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Except as provided in (c) of this subsection,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 </w:t>
      </w:r>
      <w:r>
        <w:rPr>
          <w:u w:val="single"/>
        </w:rPr>
        <w:t xml:space="preserve">In cities with populations of greater than five hundred thousand people, use of automated traffic safety cameras is also permitted midblock on arterials.</w:t>
      </w:r>
    </w:p>
    <w:p>
      <w:pPr>
        <w:spacing w:before="0" w:after="0" w:line="408" w:lineRule="exact"/>
        <w:ind w:left="0" w:right="0" w:firstLine="576"/>
        <w:jc w:val="left"/>
      </w:pPr>
      <w:r>
        <w:rPr/>
        <w:t xml:space="preserve">(c)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w:t>
      </w:r>
      <w:r>
        <w:rPr>
          <w:u w:val="single"/>
        </w:rPr>
        <w:t xml:space="preserve">(i)</w:t>
      </w:r>
      <w:r>
        <w:rPr/>
        <w:t xml:space="preserv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u w:val="single"/>
        </w:rPr>
        <w:t xml:space="preserve">(ii)(A) A notice of infraction may only be issued for the second or subsequent violation within a five-year period by the registered owner of the vehicle or the renter of the vehicle for an infraction generated through the use of an automated traffic safety camera for the following violations: Stopping when traffic obstructed violations; stopping at intersection or crosswalk violations; public transportation only lane violations; stopping standing, or parking violations at locations restricted for emergency response vehicle entry or exit or the boarding or disembarking of public transportation vehicles, including public ferries. A warning of infraction must be mailed in place of a notice of infraction for the first violation by the registered owner of the vehicle or the renter of the vehicle for an infraction generated through the use of an automated traffic safety camera.</w:t>
      </w:r>
    </w:p>
    <w:p>
      <w:pPr>
        <w:spacing w:before="0" w:after="0" w:line="408" w:lineRule="exact"/>
        <w:ind w:left="0" w:right="0" w:firstLine="576"/>
        <w:jc w:val="left"/>
      </w:pPr>
      <w:r>
        <w:rPr>
          <w:u w:val="single"/>
        </w:rPr>
        <w:t xml:space="preserve">(B) A warning of infraction must be issued in the same manner and is subject to the same evidentiary, inspection, and admission requirements, and opportunity for the recipient to respond by mail, applicable to a notice of infraction as provided in (e) of this subsection.</w:t>
      </w:r>
    </w:p>
    <w:p>
      <w:pPr>
        <w:spacing w:before="0" w:after="0" w:line="408" w:lineRule="exact"/>
        <w:ind w:left="0" w:right="0" w:firstLine="576"/>
        <w:jc w:val="left"/>
      </w:pPr>
      <w:r>
        <w:rPr>
          <w:u w:val="single"/>
        </w:rPr>
        <w:t xml:space="preserve">(C) No fine may be issued for a warning of infraction for a first infraction by the registered owner of the vehicle or the renter of the vehicle within a five-year period that is generated through the use of an automated traffic safety camera.</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u w:val="single"/>
        </w:rPr>
        <w:t xml:space="preserve">(j) As used in this subsection (1),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 </w:t>
      </w:r>
      <w:r>
        <w:rPr>
          <w:u w:val="single"/>
        </w:rPr>
        <w:t xml:space="preserve">"Automated traffic safety camera" also includes a device used to detect stopping when traffic obstructed violations; stopping at intersection or crosswalk violations; public transportation only lane violations; stopping, standing, or parking violations at locations restricted for emergency response vehicle entry or exit or the boarding or disembarking of public transportation vehicles, including public ferries.</w:t>
      </w:r>
    </w:p>
    <w:p>
      <w:pPr>
        <w:spacing w:before="0" w:after="0" w:line="408" w:lineRule="exact"/>
        <w:ind w:left="0" w:right="0" w:firstLine="576"/>
        <w:jc w:val="left"/>
      </w:pPr>
      <w:r>
        <w:t>((</w:t>
      </w:r>
      <w:r>
        <w:rPr>
          <w:strike/>
        </w:rPr>
        <w:t xml:space="preserve">(6) During the 2011-2013 and 2013-2015 fiscal biennia, this section does not apply to automated traffic safety cameras for the purposes of section 216(5), chapter 367, Laws of 2011 and section 216(6), chapter 306, Laws of 2013.</w:t>
      </w:r>
      <w:r>
        <w:t>))</w:t>
      </w:r>
    </w:p>
    <w:p/>
    <w:p>
      <w:pPr>
        <w:jc w:val="center"/>
      </w:pPr>
      <w:r>
        <w:rPr>
          <w:b/>
        </w:rPr>
        <w:t>--- END ---</w:t>
      </w:r>
    </w:p>
    <w:sectPr>
      <w:pgNumType w:start="1"/>
      <w:footerReference xmlns:r="http://schemas.openxmlformats.org/officeDocument/2006/relationships" r:id="R7f57ed7d20af4e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f386b3ea564157" /><Relationship Type="http://schemas.openxmlformats.org/officeDocument/2006/relationships/footer" Target="/word/footer1.xml" Id="R7f57ed7d20af4e1b" /></Relationships>
</file>