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a8c57f6374b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Davis, Macri, Jinkins, Ormsby, Slatter, and Tharinger)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substance use disorder professional practice; amending RCW 18.205.010, 18.205.020, 18.205.030, 18.205.080, 18.205.090, 18.205.095, 10.77.079, 13.40.020, 13.40.042, 18.130.040, 43.70.442, 43.70.442, 70.97.010, 70.97.030, 71.34.020, 71.34.720, 71.34.720, 71.34.760, 18.130.175, and 43.43.842; reenacting and amending RCW 71.05.020;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 all oriented to assist </w:t>
      </w:r>
      <w:r>
        <w:t>((</w:t>
      </w:r>
      <w:r>
        <w:rPr>
          <w:strike/>
        </w:rPr>
        <w:t xml:space="preserve">alcoholic and drug addicted patients to achieve and maintain abstinence from mood-altering substances and develop independent support systems</w:t>
      </w:r>
      <w:r>
        <w:t>))</w:t>
      </w:r>
      <w:r>
        <w:rPr/>
        <w:t xml:space="preserve"> </w:t>
      </w:r>
      <w:r>
        <w:rPr>
          <w:u w:val="single"/>
        </w:rPr>
        <w:t xml:space="preserve">individuals with substance use disorder in their recovery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 </w:t>
      </w:r>
      <w:r>
        <w:rPr>
          <w:u w:val="single"/>
        </w:rPr>
        <w:t xml:space="preserve">"Recovery" means a process of change through which individuals improve their health and wellness, live self-directed lives, and strive to reach their full potential. Recovery often involves achieving remission from active substance use disorder.</w:t>
      </w:r>
    </w:p>
    <w:p>
      <w:pPr>
        <w:spacing w:before="0" w:after="0" w:line="408" w:lineRule="exact"/>
        <w:ind w:left="0" w:right="0" w:firstLine="576"/>
        <w:jc w:val="left"/>
      </w:pPr>
      <w:r>
        <w:rPr>
          <w:u w:val="single"/>
        </w:rPr>
        <w:t xml:space="preserve">(7)</w:t>
      </w:r>
      <w:r>
        <w:rPr/>
        <w:t xml:space="preserve"> "Secretary" means the secretary of health or the secretary's designee.</w:t>
      </w:r>
    </w:p>
    <w:p>
      <w:pPr>
        <w:spacing w:before="0" w:after="0" w:line="408" w:lineRule="exact"/>
        <w:ind w:left="0" w:right="0" w:firstLine="576"/>
        <w:jc w:val="left"/>
      </w:pPr>
      <w:r>
        <w:rPr>
          <w:u w:val="single"/>
        </w:rPr>
        <w:t xml:space="preserve">(8) "Substance use disorder counseling" means employing the core competencies of substance use disorder counseling to assist or attempt to assist individuals with substance use disorder in their recovery.</w:t>
      </w:r>
    </w:p>
    <w:p>
      <w:pPr>
        <w:spacing w:before="0" w:after="0" w:line="408" w:lineRule="exact"/>
        <w:ind w:left="0" w:right="0" w:firstLine="576"/>
        <w:jc w:val="left"/>
      </w:pPr>
      <w:r>
        <w:rPr>
          <w:u w:val="single"/>
        </w:rPr>
        <w:t xml:space="preserve">(9)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(10) "Substance use disorder professional trainee" means an individual working toward the education and experience requirements for certification as a substance use disorder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2018 c 201 s 9007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health care authority, or his or her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and </w:t>
      </w:r>
      <w:r>
        <w:t>((</w:t>
      </w:r>
      <w:r>
        <w:rPr>
          <w:strike/>
        </w:rPr>
        <w:t xml:space="preserve">chemical dependency</w:t>
      </w:r>
      <w:r>
        <w:t>))</w:t>
      </w:r>
      <w:r>
        <w:rPr/>
        <w:t xml:space="preserve"> </w:t>
      </w:r>
      <w:r>
        <w:rPr>
          <w:u w:val="single"/>
        </w:rPr>
        <w:t xml:space="preserve">substance use disorder</w:t>
      </w:r>
      <w:r>
        <w:rPr/>
        <w:t xml:space="preserve">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w:t>
      </w:r>
      <w:r>
        <w:t>((</w:t>
      </w:r>
      <w:r>
        <w:rPr>
          <w:strike/>
        </w:rPr>
        <w:t xml:space="preserve">"Chemical dependency professional" means a person certified as a chemical dependency professional by the department under chapter 18.205 RCW;</w:t>
      </w:r>
    </w:p>
    <w:p>
      <w:pPr>
        <w:spacing w:before="0" w:after="0" w:line="408" w:lineRule="exact"/>
        <w:ind w:left="0" w:right="0" w:firstLine="576"/>
        <w:jc w:val="left"/>
      </w:pPr>
      <w:r>
        <w:rPr>
          <w:strike/>
        </w:rPr>
        <w:t xml:space="preserve">(9)</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(6)</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2018 c 201 s 5019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director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director's placement authority shall be exercised through a designated placement committee appointed by the director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director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authority's designated placement committee within ninety days of admission and no less than every one hundred eighty days thereafter, setting forth such facts as the authority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takes effect August 1, 2020.</w:t>
      </w:r>
    </w:p>
    <w:p>
      <w:pPr>
        <w:spacing w:before="0" w:after="0" w:line="408" w:lineRule="exact"/>
        <w:ind w:left="0" w:right="0" w:firstLine="576"/>
        <w:jc w:val="left"/>
      </w:pPr>
      <w:r>
        <w:rPr/>
        <w:t xml:space="preserve">(2) Section 18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11 of this act expires August 1, 2020.</w:t>
      </w:r>
    </w:p>
    <w:p>
      <w:pPr>
        <w:spacing w:before="0" w:after="0" w:line="408" w:lineRule="exact"/>
        <w:ind w:left="0" w:right="0" w:firstLine="576"/>
        <w:jc w:val="left"/>
      </w:pPr>
      <w:r>
        <w:rPr/>
        <w:t xml:space="preserve">(2) Section 17 of this act expires July 1, 2026.</w:t>
      </w:r>
    </w:p>
    <w:p/>
    <w:p>
      <w:pPr>
        <w:jc w:val="center"/>
      </w:pPr>
      <w:r>
        <w:rPr>
          <w:b/>
        </w:rPr>
        <w:t>--- END ---</w:t>
      </w:r>
    </w:p>
    <w:sectPr>
      <w:pgNumType w:start="1"/>
      <w:footerReference xmlns:r="http://schemas.openxmlformats.org/officeDocument/2006/relationships" r:id="R1bc81d18f9274e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ee809e1cf41fe" /><Relationship Type="http://schemas.openxmlformats.org/officeDocument/2006/relationships/footer" Target="/word/footer1.xml" Id="R1bc81d18f9274ed2" /></Relationships>
</file>