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6342331df0448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1732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Public Safety (originally sponsored by Representatives Valdez, Entenman, Ramos, Wylie, Gregerson, Dolan, Frame, Jinkins, Ortiz-Self, Orwall, Peterson, Ryu, Stanford, Kilduff, Santos, Thai, Senn, Macri, and Pollet)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and responding to bias-based criminal offenses; amending RCW 9A.36.078, 9A.36.080, 9A.36.083, 2.56.030, 9.94A.030, 9A.46.060, 36.28A.030, 43.43.830, and 48.18.553; reenacting and amending RCW 9.94A.515; and adding a new section to chapter 43.10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handicaps</w:t>
      </w:r>
      <w:r>
        <w:t>))</w:t>
      </w:r>
      <w:r>
        <w:rPr/>
        <w:t xml:space="preserve"> </w:t>
      </w:r>
      <w:r>
        <w:rPr>
          <w:u w:val="single"/>
        </w:rPr>
        <w:t xml:space="preserve">disabilities</w:t>
      </w:r>
      <w:r>
        <w:rPr/>
        <w:t xml:space="preserve">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u w:val="single"/>
        </w:rPr>
        <w:t xml:space="preserve">The legislature also finds that attacks on religious places of worship and threatening defacement of religious texts have increased, as have assaults and attacks on those who visibly self-identify as members of a religious minority, such as by wearing religious head covering or other visible articles of faith. The legislature finds that any person who defaces religious real property with derogatory words, symbols, or items, who places a vandalized or defaced religious item or scripture on the property of a victim, or who attacks or attempts to remove the religious garb or faith-based attire of a victim, knows or reasonably should know that such actions create a reasonable fear of harm in the mind of the victim.</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recognizes that, since 2015, Washington state has experienced a sharp increase in malicious harassment offenses, and, in response, the legislature intends to rename the offense to its more commonly understood title of "hate crime offense" and create a multidisciplinary working group to establish recommendations for best practices for identifying and responding to hate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w:t>
      </w:r>
      <w:r>
        <w:t>((</w:t>
      </w:r>
      <w:r>
        <w:rPr>
          <w:strike/>
        </w:rPr>
        <w:t xml:space="preserve">malicious harassment</w:t>
      </w:r>
      <w:r>
        <w:t>))</w:t>
      </w:r>
      <w:r>
        <w:rPr/>
        <w:t xml:space="preserve"> </w:t>
      </w:r>
      <w:r>
        <w:rPr>
          <w:u w:val="single"/>
        </w:rPr>
        <w:t xml:space="preserve">a hate crime offense</w:t>
      </w:r>
      <w:r>
        <w:rPr/>
        <w:t xml:space="preserve"> if he or she maliciously and intentionally commits one of the following acts because of his or her perception of the victim's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w:t>
      </w:r>
      <w:r>
        <w:rPr>
          <w:u w:val="single"/>
        </w:rPr>
        <w:t xml:space="preserve">gender expression or identity, or the same</w:t>
      </w:r>
      <w:r>
        <w:rPr/>
        <w:t xml:space="preserve"> mental, physical, or sensory </w:t>
      </w:r>
      <w:r>
        <w:t>((</w:t>
      </w:r>
      <w:r>
        <w:rPr>
          <w:strike/>
        </w:rPr>
        <w:t xml:space="preserve">handicap</w:t>
      </w:r>
      <w:r>
        <w:t>))</w:t>
      </w:r>
      <w:r>
        <w:rPr/>
        <w:t xml:space="preserve"> </w:t>
      </w:r>
      <w:r>
        <w:rPr>
          <w:u w:val="single"/>
        </w:rPr>
        <w:t xml:space="preserve">disability</w:t>
      </w:r>
      <w:r>
        <w:rPr/>
        <w:t xml:space="preserve"> as the victim. Words alone do not constitute </w:t>
      </w:r>
      <w:r>
        <w:t>((</w:t>
      </w:r>
      <w:r>
        <w:rPr>
          <w:strike/>
        </w:rPr>
        <w:t xml:space="preserve">malicious harassment</w:t>
      </w:r>
      <w:r>
        <w:t>))</w:t>
      </w:r>
      <w:r>
        <w:rPr/>
        <w:t xml:space="preserve"> </w:t>
      </w:r>
      <w:r>
        <w:rPr>
          <w:u w:val="single"/>
        </w:rPr>
        <w:t xml:space="preserve">a hate crime offense</w:t>
      </w:r>
      <w:r>
        <w:rPr/>
        <w:t xml:space="preserve"> unless the context or circumstances surrounding the words indicate the words are a threat. Threatening words do not constitute </w:t>
      </w:r>
      <w:r>
        <w:t>((</w:t>
      </w:r>
      <w:r>
        <w:rPr>
          <w:strike/>
        </w:rPr>
        <w:t xml:space="preserve">malicious harassment</w:t>
      </w:r>
      <w:r>
        <w:t>))</w:t>
      </w:r>
      <w:r>
        <w:rPr/>
        <w:t xml:space="preserve"> </w:t>
      </w:r>
      <w:r>
        <w:rPr>
          <w:u w:val="single"/>
        </w:rPr>
        <w:t xml:space="preserve">a hate crime offense</w:t>
      </w:r>
      <w:r>
        <w:rPr/>
        <w:t xml:space="preserve"> if it is apparent to the victim that the person does not have the ability to carry out the threat.</w:t>
      </w:r>
    </w:p>
    <w:p>
      <w:pPr>
        <w:spacing w:before="0" w:after="0" w:line="408" w:lineRule="exact"/>
        <w:ind w:left="0" w:right="0" w:firstLine="576"/>
        <w:jc w:val="left"/>
      </w:pPr>
      <w:r>
        <w:rPr/>
        <w:t xml:space="preserve">(2) In any prosecution for </w:t>
      </w:r>
      <w:r>
        <w:t>((</w:t>
      </w:r>
      <w:r>
        <w:rPr>
          <w:strike/>
        </w:rPr>
        <w:t xml:space="preserve">malicious harassment</w:t>
      </w:r>
      <w:r>
        <w:t>))</w:t>
      </w:r>
      <w:r>
        <w:rPr/>
        <w:t xml:space="preserve"> </w:t>
      </w:r>
      <w:r>
        <w:rPr>
          <w:u w:val="single"/>
        </w:rPr>
        <w:t xml:space="preserve">a hate crime offense</w:t>
      </w:r>
      <w:r>
        <w:rPr/>
        <w:t xml:space="preserv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w:t>
      </w:r>
      <w:r>
        <w:t>))</w:t>
      </w:r>
      <w:r>
        <w:rPr/>
        <w:t xml:space="preserve"> </w:t>
      </w:r>
      <w:r>
        <w:rPr>
          <w:u w:val="single"/>
        </w:rPr>
        <w:t xml:space="preserve">disability</w:t>
      </w:r>
      <w:r>
        <w:rPr/>
        <w:t xml:space="preserve">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w:t>
      </w:r>
      <w:r>
        <w:t>((</w:t>
      </w:r>
      <w:r>
        <w:rPr>
          <w:strike/>
        </w:rPr>
        <w:t xml:space="preserve">or</w:t>
      </w:r>
      <w:r>
        <w:t>))</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r>
        <w:rPr>
          <w:u w:val="single"/>
        </w:rPr>
        <w:t xml:space="preserve">;</w:t>
      </w:r>
    </w:p>
    <w:p>
      <w:pPr>
        <w:spacing w:before="0" w:after="0" w:line="408" w:lineRule="exact"/>
        <w:ind w:left="0" w:right="0" w:firstLine="576"/>
        <w:jc w:val="left"/>
      </w:pPr>
      <w:r>
        <w:rPr>
          <w:u w:val="single"/>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u w:val="single"/>
        </w:rPr>
        <w:t xml:space="preserve">(d) Places a vandalized or defaced religious item or scripture on the property of a victim who is or whom the actor perceives to be of the faith with which that item or scripture is associated; or</w:t>
      </w:r>
    </w:p>
    <w:p>
      <w:pPr>
        <w:spacing w:before="0" w:after="0" w:line="408" w:lineRule="exact"/>
        <w:ind w:left="0" w:right="0" w:firstLine="576"/>
        <w:jc w:val="left"/>
      </w:pPr>
      <w:r>
        <w:rPr>
          <w:u w:val="single"/>
        </w:rPr>
        <w:t xml:space="preserve">(e) Damages, destroys, or defaces religious garb or other faith-based attire belonging to the victim or attempts to or successfully removes religious garb or other faith-based attire from the victim's person without the victim's authorization</w:t>
      </w:r>
      <w:r>
        <w:rPr/>
        <w:t xml:space="preserve">.</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w:t>
      </w:r>
      <w:r>
        <w:t>((</w:t>
      </w:r>
      <w:r>
        <w:rPr>
          <w:strike/>
        </w:rPr>
        <w:t xml:space="preserve">or (b)</w:t>
      </w:r>
      <w:r>
        <w:t>))</w:t>
      </w:r>
      <w:r>
        <w:rPr/>
        <w:t xml:space="preserve"> </w:t>
      </w:r>
      <w:r>
        <w:rPr>
          <w:u w:val="single"/>
        </w:rPr>
        <w:t xml:space="preserve">through (e)</w:t>
      </w:r>
      <w:r>
        <w:rPr/>
        <w:t xml:space="preserve">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w:t>
      </w:r>
      <w:r>
        <w:rPr>
          <w:u w:val="single"/>
        </w:rPr>
        <w:t xml:space="preserve">had a particular gender expression or identity,</w:t>
      </w:r>
      <w:r>
        <w:rPr/>
        <w:t xml:space="preserve"> or had a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rPr>
          <w:u w:val="single"/>
        </w:rPr>
        <w:t xml:space="preserve">"Gender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u w:val="single"/>
        </w:rPr>
        <w:t xml:space="preserve">(b)</w:t>
      </w:r>
      <w:r>
        <w:rPr/>
        <w:t xml:space="preserve"> "Sexual orientation" </w:t>
      </w:r>
      <w:r>
        <w:t>((</w:t>
      </w:r>
      <w:r>
        <w:rPr>
          <w:strike/>
        </w:rPr>
        <w:t xml:space="preserve">has the same meaning as in RCW 49.60.040</w:t>
      </w:r>
      <w:r>
        <w:t>))</w:t>
      </w:r>
      <w:r>
        <w:rPr/>
        <w:t xml:space="preserve"> </w:t>
      </w:r>
      <w:r>
        <w:rPr>
          <w:u w:val="single"/>
        </w:rPr>
        <w:t xml:space="preserve">means heterosexuality, homosexuality, or bisexuality</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w:t>
      </w:r>
      <w:r>
        <w:t>((</w:t>
      </w:r>
      <w:r>
        <w:rPr>
          <w:strike/>
        </w:rPr>
        <w:t xml:space="preserve">Malicious harassment</w:t>
      </w:r>
      <w:r>
        <w:t>))</w:t>
      </w:r>
      <w:r>
        <w:rPr/>
        <w:t xml:space="preserve"> </w:t>
      </w:r>
      <w:r>
        <w:rPr>
          <w:u w:val="single"/>
        </w:rPr>
        <w:t xml:space="preserve">Commission of a hate crime offense</w:t>
      </w:r>
      <w:r>
        <w:rPr/>
        <w:t xml:space="preserve"> is a class C felony.</w:t>
      </w:r>
    </w:p>
    <w:p>
      <w:pPr>
        <w:spacing w:before="0" w:after="0" w:line="408" w:lineRule="exact"/>
        <w:ind w:left="0" w:right="0" w:firstLine="576"/>
        <w:jc w:val="left"/>
      </w:pPr>
      <w:r>
        <w:rPr/>
        <w:t xml:space="preserve">(8) The penalties provided in this section for </w:t>
      </w:r>
      <w:r>
        <w:t>((</w:t>
      </w:r>
      <w:r>
        <w:rPr>
          <w:strike/>
        </w:rPr>
        <w:t xml:space="preserve">malicious harassment</w:t>
      </w:r>
      <w:r>
        <w:t>))</w:t>
      </w:r>
      <w:r>
        <w:rPr/>
        <w:t xml:space="preserve"> </w:t>
      </w:r>
      <w:r>
        <w:rPr>
          <w:u w:val="single"/>
        </w:rPr>
        <w:t xml:space="preserve">hate crime offenses</w:t>
      </w:r>
      <w:r>
        <w:rPr/>
        <w:t xml:space="preserve">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083</w:t>
      </w:r>
      <w:r>
        <w:rPr/>
        <w:t xml:space="preserve"> and 1993 c 127 s 3 are each amended to read as follows:</w:t>
      </w:r>
    </w:p>
    <w:p>
      <w:pPr>
        <w:spacing w:before="0" w:after="0" w:line="408" w:lineRule="exact"/>
        <w:ind w:left="0" w:right="0" w:firstLine="576"/>
        <w:jc w:val="left"/>
      </w:pPr>
      <w:r>
        <w:rPr/>
        <w:t xml:space="preserve">In addition to the criminal penalty provided in RCW 9A.36.080 for committing a </w:t>
      </w:r>
      <w:r>
        <w:t>((</w:t>
      </w:r>
      <w:r>
        <w:rPr>
          <w:strike/>
        </w:rPr>
        <w:t xml:space="preserve">crime of malicious harassment</w:t>
      </w:r>
      <w:r>
        <w:t>))</w:t>
      </w:r>
      <w:r>
        <w:rPr/>
        <w:t xml:space="preserve"> </w:t>
      </w:r>
      <w:r>
        <w:rPr>
          <w:u w:val="single"/>
        </w:rPr>
        <w:t xml:space="preserve">hate crime offense</w:t>
      </w:r>
      <w:r>
        <w:rPr/>
        <w:t xml:space="preserve">, the victim may bring a civil cause of action for </w:t>
      </w:r>
      <w:r>
        <w:t>((</w:t>
      </w:r>
      <w:r>
        <w:rPr>
          <w:strike/>
        </w:rPr>
        <w:t xml:space="preserve">malicious harassment</w:t>
      </w:r>
      <w:r>
        <w:t>))</w:t>
      </w:r>
      <w:r>
        <w:rPr/>
        <w:t xml:space="preserve"> </w:t>
      </w:r>
      <w:r>
        <w:rPr>
          <w:u w:val="single"/>
        </w:rPr>
        <w:t xml:space="preserve">the hate crime offense</w:t>
      </w:r>
      <w:r>
        <w:rPr/>
        <w:t xml:space="preserve"> against the </w:t>
      </w:r>
      <w:r>
        <w:t>((</w:t>
      </w:r>
      <w:r>
        <w:rPr>
          <w:strike/>
        </w:rPr>
        <w:t xml:space="preserve">harasser</w:t>
      </w:r>
      <w:r>
        <w:t>))</w:t>
      </w:r>
      <w:r>
        <w:rPr/>
        <w:t xml:space="preserve"> </w:t>
      </w:r>
      <w:r>
        <w:rPr>
          <w:u w:val="single"/>
        </w:rPr>
        <w:t xml:space="preserve">person who committed the offense</w:t>
      </w:r>
      <w:r>
        <w:rPr/>
        <w:t xml:space="preserve">. A person may be liable to the victim of </w:t>
      </w:r>
      <w:r>
        <w:t>((</w:t>
      </w:r>
      <w:r>
        <w:rPr>
          <w:strike/>
        </w:rPr>
        <w:t xml:space="preserve">malicious harassment</w:t>
      </w:r>
      <w:r>
        <w:t>))</w:t>
      </w:r>
      <w:r>
        <w:rPr/>
        <w:t xml:space="preserve"> </w:t>
      </w:r>
      <w:r>
        <w:rPr>
          <w:u w:val="single"/>
        </w:rPr>
        <w:t xml:space="preserve">the hate crime offense</w:t>
      </w:r>
      <w:r>
        <w:rPr/>
        <w:t xml:space="preserve"> for actual damages, punitive damages of up to </w:t>
      </w:r>
      <w:r>
        <w:t>((</w:t>
      </w:r>
      <w:r>
        <w:rPr>
          <w:strike/>
        </w:rPr>
        <w:t xml:space="preserve">ten</w:t>
      </w:r>
      <w:r>
        <w:t>))</w:t>
      </w:r>
      <w:r>
        <w:rPr/>
        <w:t xml:space="preserve"> </w:t>
      </w:r>
      <w:r>
        <w:rPr>
          <w:u w:val="single"/>
        </w:rPr>
        <w:t xml:space="preserve">one hundred</w:t>
      </w:r>
      <w:r>
        <w:rPr/>
        <w:t xml:space="preserve"> thousand dollars, and reasonable attorneys' fees and costs incurred in bringing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office of the attorney general must, by September 1, 2019, coordinate and convene a multidisciplinary hate crime advisory working group for the purpose of developing strategies toward raising awareness of and appropriate responses to hate crime offenses.</w:t>
      </w:r>
    </w:p>
    <w:p>
      <w:pPr>
        <w:spacing w:before="0" w:after="0" w:line="408" w:lineRule="exact"/>
        <w:ind w:left="0" w:right="0" w:firstLine="576"/>
        <w:jc w:val="left"/>
      </w:pPr>
      <w:r>
        <w:rPr/>
        <w:t xml:space="preserve">(2) The group's membership must include:</w:t>
      </w:r>
    </w:p>
    <w:p>
      <w:pPr>
        <w:spacing w:before="0" w:after="0" w:line="408" w:lineRule="exact"/>
        <w:ind w:left="0" w:right="0" w:firstLine="576"/>
        <w:jc w:val="left"/>
      </w:pPr>
      <w:r>
        <w:rPr/>
        <w:t xml:space="preserve">(a) Four community members, one appointed by each of the two largest caucuses of the senate and one appointed by each of the two largest caucuses of the house of representatives;</w:t>
      </w:r>
    </w:p>
    <w:p>
      <w:pPr>
        <w:spacing w:before="0" w:after="0" w:line="408" w:lineRule="exact"/>
        <w:ind w:left="0" w:right="0" w:firstLine="576"/>
        <w:jc w:val="left"/>
      </w:pPr>
      <w:r>
        <w:rPr/>
        <w:t xml:space="preserve">(b) Two members appointed by the governor from organizations representing groups protected under RCW 9A.36.080; and</w:t>
      </w:r>
    </w:p>
    <w:p>
      <w:pPr>
        <w:spacing w:before="0" w:after="0" w:line="408" w:lineRule="exact"/>
        <w:ind w:left="0" w:right="0" w:firstLine="576"/>
        <w:jc w:val="left"/>
      </w:pPr>
      <w:r>
        <w:rPr/>
        <w:t xml:space="preserve">(c) One member appointed by the governor representing law enforcement.</w:t>
      </w:r>
    </w:p>
    <w:p>
      <w:pPr>
        <w:spacing w:before="0" w:after="0" w:line="408" w:lineRule="exact"/>
        <w:ind w:left="0" w:right="0" w:firstLine="576"/>
        <w:jc w:val="left"/>
      </w:pPr>
      <w:r>
        <w:rPr/>
        <w:t xml:space="preserve">(3) The work group must develop recommended best practices for:</w:t>
      </w:r>
    </w:p>
    <w:p>
      <w:pPr>
        <w:spacing w:before="0" w:after="0" w:line="408" w:lineRule="exact"/>
        <w:ind w:left="0" w:right="0" w:firstLine="576"/>
        <w:jc w:val="left"/>
      </w:pPr>
      <w:r>
        <w:rPr/>
        <w:t xml:space="preserve">(a) Preventing hate crimes, especially those occurring in public K-12 schools and in the workplace, through public awareness and antibias campaigns;</w:t>
      </w:r>
    </w:p>
    <w:p>
      <w:pPr>
        <w:spacing w:before="0" w:after="0" w:line="408" w:lineRule="exact"/>
        <w:ind w:left="0" w:right="0" w:firstLine="576"/>
        <w:jc w:val="left"/>
      </w:pPr>
      <w:r>
        <w:rPr/>
        <w:t xml:space="preserve">(b) Increasing identification and reporting of hate crimes, including recommendations for standardization of data collection and reporting;</w:t>
      </w:r>
    </w:p>
    <w:p>
      <w:pPr>
        <w:spacing w:before="0" w:after="0" w:line="408" w:lineRule="exact"/>
        <w:ind w:left="0" w:right="0" w:firstLine="576"/>
        <w:jc w:val="left"/>
      </w:pPr>
      <w:r>
        <w:rPr/>
        <w:t xml:space="preserve">(c) Strengthening law enforcement, prosecutorial, and public K-12 school responses to hate crime offenses through enhanced training and other measures; and</w:t>
      </w:r>
    </w:p>
    <w:p>
      <w:pPr>
        <w:spacing w:before="0" w:after="0" w:line="408" w:lineRule="exact"/>
        <w:ind w:left="0" w:right="0" w:firstLine="576"/>
        <w:jc w:val="left"/>
      </w:pPr>
      <w:r>
        <w:rPr/>
        <w:t xml:space="preserve">(d) Supporting victims of hate crime offenses, and in particular, ways of strengthening law enforcement, health care, and educational collaboration with, and victim connection to, community advocacy and support organizations.</w:t>
      </w:r>
    </w:p>
    <w:p>
      <w:pPr>
        <w:spacing w:before="0" w:after="0" w:line="408" w:lineRule="exact"/>
        <w:ind w:left="0" w:right="0" w:firstLine="576"/>
        <w:jc w:val="left"/>
      </w:pPr>
      <w:r>
        <w:rPr/>
        <w:t xml:space="preserve">(4) The working group is encouraged to solicit participation and feedback from nonmember groups and individuals with relevant experience, as needed.</w:t>
      </w:r>
    </w:p>
    <w:p>
      <w:pPr>
        <w:spacing w:before="0" w:after="0" w:line="408" w:lineRule="exact"/>
        <w:ind w:left="0" w:right="0" w:firstLine="576"/>
        <w:jc w:val="left"/>
      </w:pPr>
      <w:r>
        <w:rPr/>
        <w:t xml:space="preserve">(5) The working group must hold at least four meetings. By July 1, 2020, the office of the attorney general must report the working group's recommendations to the governor and the legislature, in compliance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030</w:t>
      </w:r>
      <w:r>
        <w:rPr/>
        <w:t xml:space="preserve"> and 2009 c 479 s 2 are each amended to read as follows:</w:t>
      </w:r>
    </w:p>
    <w:p>
      <w:pPr>
        <w:spacing w:before="0" w:after="0" w:line="408" w:lineRule="exact"/>
        <w:ind w:left="0" w:right="0" w:firstLine="576"/>
        <w:jc w:val="left"/>
      </w:pPr>
      <w:r>
        <w:rPr/>
        <w:t xml:space="preserve">The administrator for the courts shall, under the supervision and direction of the chief justice:</w:t>
      </w:r>
    </w:p>
    <w:p>
      <w:pPr>
        <w:spacing w:before="0" w:after="0" w:line="408" w:lineRule="exact"/>
        <w:ind w:left="0" w:right="0" w:firstLine="576"/>
        <w:jc w:val="left"/>
      </w:pPr>
      <w:r>
        <w:rPr/>
        <w:t xml:space="preserve">(1) Examine the administrative methods and systems employed in the offices of the judges, clerks, stenographers, and employees of the courts and make recommendations, through the chief justice, for the improvement of the same;</w:t>
      </w:r>
    </w:p>
    <w:p>
      <w:pPr>
        <w:spacing w:before="0" w:after="0" w:line="408" w:lineRule="exact"/>
        <w:ind w:left="0" w:right="0" w:firstLine="576"/>
        <w:jc w:val="left"/>
      </w:pPr>
      <w:r>
        <w:rPr/>
        <w:t xml:space="preserve">(2) Examine the state of the dockets of the courts and determine the need for assistance by any court;</w:t>
      </w:r>
    </w:p>
    <w:p>
      <w:pPr>
        <w:spacing w:before="0" w:after="0" w:line="408" w:lineRule="exact"/>
        <w:ind w:left="0" w:right="0" w:firstLine="576"/>
        <w:jc w:val="left"/>
      </w:pPr>
      <w:r>
        <w:rPr/>
        <w:t xml:space="preserve">(3) Make recommendations to the chief justice relating to the assignment of judges where courts are in need of assistance and carry out the direction of the chief justice as to the assignments of judges to counties and districts where the courts are in need of assistance;</w:t>
      </w:r>
    </w:p>
    <w:p>
      <w:pPr>
        <w:spacing w:before="0" w:after="0" w:line="408" w:lineRule="exact"/>
        <w:ind w:left="0" w:right="0" w:firstLine="576"/>
        <w:jc w:val="left"/>
      </w:pPr>
      <w:r>
        <w:rPr/>
        <w:t xml:space="preserve">(4) Collect and compile statistical and other data and make reports of the business transacted by the courts and transmit the same to the chief justice to the end that proper action may be taken in respect thereto;</w:t>
      </w:r>
    </w:p>
    <w:p>
      <w:pPr>
        <w:spacing w:before="0" w:after="0" w:line="408" w:lineRule="exact"/>
        <w:ind w:left="0" w:right="0" w:firstLine="576"/>
        <w:jc w:val="left"/>
      </w:pPr>
      <w:r>
        <w:rPr/>
        <w:t xml:space="preserve">(5) Prepare and submit budget estimates of state appropriations necessary for the maintenance and operation of the judicial system and make recommendations in respect thereto;</w:t>
      </w:r>
    </w:p>
    <w:p>
      <w:pPr>
        <w:spacing w:before="0" w:after="0" w:line="408" w:lineRule="exact"/>
        <w:ind w:left="0" w:right="0" w:firstLine="576"/>
        <w:jc w:val="left"/>
      </w:pPr>
      <w:r>
        <w:rPr/>
        <w:t xml:space="preserve">(6) Collect statistical and other data and make reports relating to the expenditure of public moneys, state and local, for the maintenance and operation of the judicial system and the offices connected therewith;</w:t>
      </w:r>
    </w:p>
    <w:p>
      <w:pPr>
        <w:spacing w:before="0" w:after="0" w:line="408" w:lineRule="exact"/>
        <w:ind w:left="0" w:right="0" w:firstLine="576"/>
        <w:jc w:val="left"/>
      </w:pPr>
      <w:r>
        <w:rPr/>
        <w:t xml:space="preserve">(7) Obtain reports from clerks of courts in accordance with law or rules adopted by the supreme court of this state on cases and other judicial business in which action has been delayed beyond periods of time specified by law or rules of court and make report thereof to supreme court of this state;</w:t>
      </w:r>
    </w:p>
    <w:p>
      <w:pPr>
        <w:spacing w:before="0" w:after="0" w:line="408" w:lineRule="exact"/>
        <w:ind w:left="0" w:right="0" w:firstLine="576"/>
        <w:jc w:val="left"/>
      </w:pPr>
      <w:r>
        <w:rPr/>
        <w:t xml:space="preserve">(8) Act as secretary of the judicial conference referred to in RCW 2.56.060;</w:t>
      </w:r>
    </w:p>
    <w:p>
      <w:pPr>
        <w:spacing w:before="0" w:after="0" w:line="408" w:lineRule="exact"/>
        <w:ind w:left="0" w:right="0" w:firstLine="576"/>
        <w:jc w:val="left"/>
      </w:pPr>
      <w:r>
        <w:rPr/>
        <w:t xml:space="preserve">(9) Submit annually, as of February 1st, to the chief justice, a report of the activities of the administrator's office for the preceding calendar year including activities related to courthouse security;</w:t>
      </w:r>
    </w:p>
    <w:p>
      <w:pPr>
        <w:spacing w:before="0" w:after="0" w:line="408" w:lineRule="exact"/>
        <w:ind w:left="0" w:right="0" w:firstLine="576"/>
        <w:jc w:val="left"/>
      </w:pPr>
      <w:r>
        <w:rPr/>
        <w:t xml:space="preserve">(10) Administer programs and standards for the training and education of judicial personnel;</w:t>
      </w:r>
    </w:p>
    <w:p>
      <w:pPr>
        <w:spacing w:before="0" w:after="0" w:line="408" w:lineRule="exact"/>
        <w:ind w:left="0" w:right="0" w:firstLine="576"/>
        <w:jc w:val="left"/>
      </w:pPr>
      <w:r>
        <w:rPr/>
        <w:t xml:space="preserve">(11) Examine the need for new superior court and district court judge positions under an objective workload analysis. The results of the objective workload analysis shall be reviewed by the board for judicial administration which shall make recommendations to the legislature. It is the intent of the legislature that an objective workload analysis become the basis for creating additional district and superior court positions, and recommendations should address that objective;</w:t>
      </w:r>
    </w:p>
    <w:p>
      <w:pPr>
        <w:spacing w:before="0" w:after="0" w:line="408" w:lineRule="exact"/>
        <w:ind w:left="0" w:right="0" w:firstLine="576"/>
        <w:jc w:val="left"/>
      </w:pPr>
      <w:r>
        <w:rPr/>
        <w:t xml:space="preserve">(12) Provide staff to the judicial retirement account plan under chapter 2.14 RCW;</w:t>
      </w:r>
    </w:p>
    <w:p>
      <w:pPr>
        <w:spacing w:before="0" w:after="0" w:line="408" w:lineRule="exact"/>
        <w:ind w:left="0" w:right="0" w:firstLine="576"/>
        <w:jc w:val="left"/>
      </w:pPr>
      <w:r>
        <w:rPr/>
        <w:t xml:space="preserve">(13) Attend to such other matters as may be assigned by the supreme court of this state;</w:t>
      </w:r>
    </w:p>
    <w:p>
      <w:pPr>
        <w:spacing w:before="0" w:after="0" w:line="408" w:lineRule="exact"/>
        <w:ind w:left="0" w:right="0" w:firstLine="576"/>
        <w:jc w:val="left"/>
      </w:pPr>
      <w:r>
        <w:rPr/>
        <w:t xml:space="preserve">(14) Within available funds, develop a curriculum for a general understanding of child development, placement, and treatment resources, as well as specific legal skills and knowledge of relevant statutes including chapters 13.32A, 13.34, and 13.40 RCW, cases, court rules, interviewing skills, and special needs of the abused or neglected child. This curriculum shall be completed and made available to all juvenile court judges, court personnel, and service providers and be updated yearly to reflect changes in statutes, court rules, or case law;</w:t>
      </w:r>
    </w:p>
    <w:p>
      <w:pPr>
        <w:spacing w:before="0" w:after="0" w:line="408" w:lineRule="exact"/>
        <w:ind w:left="0" w:right="0" w:firstLine="576"/>
        <w:jc w:val="left"/>
      </w:pPr>
      <w:r>
        <w:rPr/>
        <w:t xml:space="preserve">(15) Develop, in consultation with the entities set forth in RCW 2.56.150(3), a comprehensive statewide curriculum for persons who act as guardians ad litem under Title 13 or 26 RCW. The curriculum shall be made available July 1, 2008, and include specialty sections on child development, child sexual abuse, child physical abuse, child neglect, domestic violence, clinical and forensic investigative and interviewing techniques, family reconciliation and mediation services, and relevant statutory and legal requirements. The curriculum shall be made available to all superior court judges, court personnel, and all persons who act as guardians ad litem;</w:t>
      </w:r>
    </w:p>
    <w:p>
      <w:pPr>
        <w:spacing w:before="0" w:after="0" w:line="408" w:lineRule="exact"/>
        <w:ind w:left="0" w:right="0" w:firstLine="576"/>
        <w:jc w:val="left"/>
      </w:pPr>
      <w:r>
        <w:rPr/>
        <w:t xml:space="preserve">(16) Develop a curriculum for a general understanding of </w:t>
      </w:r>
      <w:r>
        <w:t>((</w:t>
      </w:r>
      <w:r>
        <w:rPr>
          <w:strike/>
        </w:rPr>
        <w:t xml:space="preserve">crimes of malicious harassment</w:t>
      </w:r>
      <w:r>
        <w:t>))</w:t>
      </w:r>
      <w:r>
        <w:rPr/>
        <w:t xml:space="preserve"> </w:t>
      </w:r>
      <w:r>
        <w:rPr>
          <w:u w:val="single"/>
        </w:rPr>
        <w:t xml:space="preserve">hate crime offenses</w:t>
      </w:r>
      <w:r>
        <w:rPr/>
        <w:t xml:space="preserve">, as well as specific legal skills and knowledge of RCW 9A.36.080, relevant cases, court rules, and the special needs of </w:t>
      </w:r>
      <w:r>
        <w:t>((</w:t>
      </w:r>
      <w:r>
        <w:rPr>
          <w:strike/>
        </w:rPr>
        <w:t xml:space="preserve">malicious harassment</w:t>
      </w:r>
      <w:r>
        <w:t>))</w:t>
      </w:r>
      <w:r>
        <w:rPr/>
        <w:t xml:space="preserve"> </w:t>
      </w:r>
      <w:r>
        <w:rPr>
          <w:u w:val="single"/>
        </w:rPr>
        <w:t xml:space="preserve">hate crime offense</w:t>
      </w:r>
      <w:r>
        <w:rPr/>
        <w:t xml:space="preserve"> victims. This curriculum shall be made available to all superior court and court of appeals judges and to all justices of the supreme court;</w:t>
      </w:r>
    </w:p>
    <w:p>
      <w:pPr>
        <w:spacing w:before="0" w:after="0" w:line="408" w:lineRule="exact"/>
        <w:ind w:left="0" w:right="0" w:firstLine="576"/>
        <w:jc w:val="left"/>
      </w:pPr>
      <w:r>
        <w:rPr/>
        <w:t xml:space="preserve">(17) Develop, in consultation with the criminal justice training commission and the commissions established under chapters 43.113, 43.115, and 43.117 RCW, a curriculum for a general understanding of ethnic and cultural diversity and its implications for working with youth of color and their families. The curriculum shall be available to all superior court judges and court commissioners assigned to juvenile court, and other court personnel. Ethnic and cultural diversity training shall be provided annually so as to incorporate cultural sensitivity and awareness into the daily operation of juvenile courts statewide;</w:t>
      </w:r>
    </w:p>
    <w:p>
      <w:pPr>
        <w:spacing w:before="0" w:after="0" w:line="408" w:lineRule="exact"/>
        <w:ind w:left="0" w:right="0" w:firstLine="576"/>
        <w:jc w:val="left"/>
      </w:pPr>
      <w:r>
        <w:rPr/>
        <w:t xml:space="preserve">(18) Authorize the use of closed circuit television and other electronic equipment in judicial proceedings. The administrator shall promulgate necessary standards and procedures and shall provide technical assistance to courts as required;</w:t>
      </w:r>
    </w:p>
    <w:p>
      <w:pPr>
        <w:spacing w:before="0" w:after="0" w:line="408" w:lineRule="exact"/>
        <w:ind w:left="0" w:right="0" w:firstLine="576"/>
        <w:jc w:val="left"/>
      </w:pPr>
      <w:r>
        <w:rPr/>
        <w:t xml:space="preserve">(19) Develop a Washington family law handbook in accordance with RCW 2.56.180;</w:t>
      </w:r>
    </w:p>
    <w:p>
      <w:pPr>
        <w:spacing w:before="0" w:after="0" w:line="408" w:lineRule="exact"/>
        <w:ind w:left="0" w:right="0" w:firstLine="576"/>
        <w:jc w:val="left"/>
      </w:pPr>
      <w:r>
        <w:rPr/>
        <w:t xml:space="preserve">(20) Administer state funds for improving the operation of the courts and provide support for court coordinating councils, under the direction of the board for judicial administration;</w:t>
      </w:r>
    </w:p>
    <w:p>
      <w:pPr>
        <w:spacing w:before="0" w:after="0" w:line="408" w:lineRule="exact"/>
        <w:ind w:left="0" w:right="0" w:firstLine="576"/>
        <w:jc w:val="left"/>
      </w:pPr>
      <w:r>
        <w:rPr/>
        <w:t xml:space="preserve">(21) Administer the family and juvenile court improvement grant program;</w:t>
      </w:r>
    </w:p>
    <w:p>
      <w:pPr>
        <w:spacing w:before="0" w:after="0" w:line="408" w:lineRule="exact"/>
        <w:ind w:left="0" w:right="0" w:firstLine="576"/>
        <w:jc w:val="left"/>
      </w:pPr>
      <w:r>
        <w:rPr/>
        <w:t xml:space="preserve">(22)(a) Administer and distribute amounts appropriated under RCW 43.08.250(2) for district court judges' and qualifying elected municipal court judges' salary contributions. The administrator for the courts shall develop a distribution formula for these amounts that does not differentiate between district and elected municipal court judges.</w:t>
      </w:r>
    </w:p>
    <w:p>
      <w:pPr>
        <w:spacing w:before="0" w:after="0" w:line="408" w:lineRule="exact"/>
        <w:ind w:left="0" w:right="0" w:firstLine="576"/>
        <w:jc w:val="left"/>
      </w:pPr>
      <w:r>
        <w:rPr/>
        <w:t xml:space="preserve">(b) A city qualifies for state contribution of elected municipal court judges' salaries under (a) of this subsection if:</w:t>
      </w:r>
    </w:p>
    <w:p>
      <w:pPr>
        <w:spacing w:before="0" w:after="0" w:line="408" w:lineRule="exact"/>
        <w:ind w:left="0" w:right="0" w:firstLine="576"/>
        <w:jc w:val="left"/>
      </w:pPr>
      <w:r>
        <w:rPr/>
        <w:t xml:space="preserve">(i) The judge is serving in an elected position;</w:t>
      </w:r>
    </w:p>
    <w:p>
      <w:pPr>
        <w:spacing w:before="0" w:after="0" w:line="408" w:lineRule="exact"/>
        <w:ind w:left="0" w:right="0" w:firstLine="576"/>
        <w:jc w:val="left"/>
      </w:pPr>
      <w:r>
        <w:rPr/>
        <w:t xml:space="preserve">(ii) The city has established by ordinance that a full-time judge is compensated at a rate equivalent to at least ninety-five percent, but not more than one hundred percent, of a district court judge salary or for a part-time judge on a pro rata basis the same equivalent; and</w:t>
      </w:r>
    </w:p>
    <w:p>
      <w:pPr>
        <w:spacing w:before="0" w:after="0" w:line="408" w:lineRule="exact"/>
        <w:ind w:left="0" w:right="0" w:firstLine="576"/>
        <w:jc w:val="left"/>
      </w:pPr>
      <w:r>
        <w:rPr/>
        <w:t xml:space="preserve">(iii) The city has certified to the office of the administrator for the courts that the conditions in (b)(i) and (ii) of this subsection have been met;</w:t>
      </w:r>
    </w:p>
    <w:p>
      <w:pPr>
        <w:spacing w:before="0" w:after="0" w:line="408" w:lineRule="exact"/>
        <w:ind w:left="0" w:right="0" w:firstLine="576"/>
        <w:jc w:val="left"/>
      </w:pPr>
      <w:r>
        <w:rPr/>
        <w:t xml:space="preserve">(23) Subject to the availability of funds specifically appropriated therefor, assist courts in the development and implementation of language assistance plans required under RCW 2.43.090.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w:t>
      </w:r>
      <w:r>
        <w:t>((</w:t>
      </w:r>
      <w:r>
        <w:rPr>
          <w:strike/>
        </w:rPr>
        <w:t xml:space="preserve">Malicious Harassment</w:t>
      </w:r>
      <w:r>
        <w:t>))</w:t>
      </w:r>
      <w:r>
        <w:rPr/>
        <w:t xml:space="preserve"> </w:t>
      </w:r>
      <w:r>
        <w:rPr>
          <w:u w:val="single"/>
        </w:rPr>
        <w:t xml:space="preserve">Hate Crime</w:t>
      </w:r>
      <w:r>
        <w:rPr/>
        <w:t xml:space="preserv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Malicious Harassment (RCW 9A.36.080)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w:t>
      </w:r>
      <w:r>
        <w:t>((</w:t>
      </w:r>
      <w:r>
        <w:rPr>
          <w:strike/>
        </w:rPr>
        <w:t xml:space="preserve">Malicious harassment</w:t>
      </w:r>
      <w:r>
        <w:t>))</w:t>
      </w:r>
      <w:r>
        <w:rPr/>
        <w:t xml:space="preserve"> </w:t>
      </w:r>
      <w:r>
        <w:rPr>
          <w:u w:val="single"/>
        </w:rPr>
        <w:t xml:space="preserve">Hate crime</w:t>
      </w:r>
      <w:r>
        <w:rPr/>
        <w:t xml:space="preserv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Cyberstalking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7.90, 9A.46, 10.14, 10.99, 26.09, or 26.50 RCW;</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sexual orientation, </w:t>
      </w:r>
      <w:r>
        <w:rPr>
          <w:u w:val="single"/>
        </w:rPr>
        <w:t xml:space="preserve">had a particular gender expression or identity,</w:t>
      </w:r>
      <w:r>
        <w:rPr/>
        <w:t xml:space="preserve"> or had a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2017 c 272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fourth degree assault (if a violation of RCW 9A.36.041(3));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w:t>
      </w:r>
      <w:r>
        <w:t>((</w:t>
      </w:r>
      <w:r>
        <w:rPr>
          <w:strike/>
        </w:rPr>
        <w:t xml:space="preserve">malicious harassment</w:t>
      </w:r>
      <w:r>
        <w:t>))</w:t>
      </w:r>
      <w:r>
        <w:rPr/>
        <w:t xml:space="preserve"> </w:t>
      </w:r>
      <w:r>
        <w:rPr>
          <w:u w:val="single"/>
        </w:rPr>
        <w:t xml:space="preserve">hate crime</w:t>
      </w:r>
      <w:r>
        <w:rPr/>
        <w:t xml:space="preserve">;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w:t>
      </w:r>
      <w:r>
        <w:t>((</w:t>
      </w:r>
      <w:r>
        <w:rPr>
          <w:strike/>
        </w:rPr>
        <w:t xml:space="preserve">a [an]</w:t>
      </w:r>
      <w:r>
        <w:t>))</w:t>
      </w:r>
      <w:r>
        <w:rPr/>
        <w:t xml:space="preserve"> </w:t>
      </w:r>
      <w:r>
        <w:rPr>
          <w:u w:val="single"/>
        </w:rPr>
        <w:t xml:space="preserve">an</w:t>
      </w:r>
      <w:r>
        <w:rPr/>
        <w:t xml:space="preserve"> assisted living facility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553</w:t>
      </w:r>
      <w:r>
        <w:rPr/>
        <w:t xml:space="preserve"> and 2003 c 117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"Insured" means a current policyholder or a person or entity that is covered under the insurance policy.</w:t>
      </w:r>
    </w:p>
    <w:p>
      <w:pPr>
        <w:spacing w:before="0" w:after="0" w:line="408" w:lineRule="exact"/>
        <w:ind w:left="0" w:right="0" w:firstLine="576"/>
        <w:jc w:val="left"/>
      </w:pPr>
      <w:r>
        <w:rPr/>
        <w:t xml:space="preserve">(b) </w:t>
      </w:r>
      <w:r>
        <w:t>((</w:t>
      </w:r>
      <w:r>
        <w:rPr>
          <w:strike/>
        </w:rPr>
        <w:t xml:space="preserve">"Malicious harassment"</w:t>
      </w:r>
      <w:r>
        <w:t>))</w:t>
      </w:r>
      <w:r>
        <w:rPr/>
        <w:t xml:space="preserve"> </w:t>
      </w:r>
      <w:r>
        <w:rPr>
          <w:u w:val="single"/>
        </w:rPr>
        <w:t xml:space="preserve">"Hate crime offense"</w:t>
      </w:r>
      <w:r>
        <w:rPr/>
        <w:t xml:space="preserve"> has the same meaning as RCW 9A.36.080. Under this section, the perpetrator does not have to be identified for </w:t>
      </w:r>
      <w:r>
        <w:t>((</w:t>
      </w:r>
      <w:r>
        <w:rPr>
          <w:strike/>
        </w:rPr>
        <w:t xml:space="preserve">an act of malicious harassment</w:t>
      </w:r>
      <w:r>
        <w:t>))</w:t>
      </w:r>
      <w:r>
        <w:rPr/>
        <w:t xml:space="preserve"> </w:t>
      </w:r>
      <w:r>
        <w:rPr>
          <w:u w:val="single"/>
        </w:rPr>
        <w:t xml:space="preserve">a hate crime offense</w:t>
      </w:r>
      <w:r>
        <w:rPr/>
        <w:t xml:space="preserve"> to have occurred.</w:t>
      </w:r>
    </w:p>
    <w:p>
      <w:pPr>
        <w:spacing w:before="0" w:after="0" w:line="408" w:lineRule="exact"/>
        <w:ind w:left="0" w:right="0" w:firstLine="576"/>
        <w:jc w:val="left"/>
      </w:pPr>
      <w:r>
        <w:rPr/>
        <w:t xml:space="preserve">(c) "Underwriting action" means an insurer:</w:t>
      </w:r>
    </w:p>
    <w:p>
      <w:pPr>
        <w:spacing w:before="0" w:after="0" w:line="408" w:lineRule="exact"/>
        <w:ind w:left="0" w:right="0" w:firstLine="576"/>
        <w:jc w:val="left"/>
      </w:pPr>
      <w:r>
        <w:rPr/>
        <w:t xml:space="preserve">(i) Cancels or refuses to renew an insurance policy; or</w:t>
      </w:r>
    </w:p>
    <w:p>
      <w:pPr>
        <w:spacing w:before="0" w:after="0" w:line="408" w:lineRule="exact"/>
        <w:ind w:left="0" w:right="0" w:firstLine="576"/>
        <w:jc w:val="left"/>
      </w:pPr>
      <w:r>
        <w:rPr/>
        <w:t xml:space="preserve">(ii) Changes the terms or benefits in an insurance policy.</w:t>
      </w:r>
    </w:p>
    <w:p>
      <w:pPr>
        <w:spacing w:before="0" w:after="0" w:line="408" w:lineRule="exact"/>
        <w:ind w:left="0" w:right="0" w:firstLine="576"/>
        <w:jc w:val="left"/>
      </w:pPr>
      <w:r>
        <w:rPr/>
        <w:t xml:space="preserve">(2) This section applies to property insurance policies if the insured is:</w:t>
      </w:r>
    </w:p>
    <w:p>
      <w:pPr>
        <w:spacing w:before="0" w:after="0" w:line="408" w:lineRule="exact"/>
        <w:ind w:left="0" w:right="0" w:firstLine="576"/>
        <w:jc w:val="left"/>
      </w:pPr>
      <w:r>
        <w:rPr/>
        <w:t xml:space="preserve">(a) An individual;</w:t>
      </w:r>
    </w:p>
    <w:p>
      <w:pPr>
        <w:spacing w:before="0" w:after="0" w:line="408" w:lineRule="exact"/>
        <w:ind w:left="0" w:right="0" w:firstLine="576"/>
        <w:jc w:val="left"/>
      </w:pPr>
      <w:r>
        <w:rPr/>
        <w:t xml:space="preserve">(b) A religious organization;</w:t>
      </w:r>
    </w:p>
    <w:p>
      <w:pPr>
        <w:spacing w:before="0" w:after="0" w:line="408" w:lineRule="exact"/>
        <w:ind w:left="0" w:right="0" w:firstLine="576"/>
        <w:jc w:val="left"/>
      </w:pPr>
      <w:r>
        <w:rPr/>
        <w:t xml:space="preserve">(c) An educational organization; or</w:t>
      </w:r>
    </w:p>
    <w:p>
      <w:pPr>
        <w:spacing w:before="0" w:after="0" w:line="408" w:lineRule="exact"/>
        <w:ind w:left="0" w:right="0" w:firstLine="576"/>
        <w:jc w:val="left"/>
      </w:pPr>
      <w:r>
        <w:rPr/>
        <w:t xml:space="preserve">(d) Any other nonprofit organization that is organized and operated for religious, charitable, or educational purposes.</w:t>
      </w:r>
    </w:p>
    <w:p>
      <w:pPr>
        <w:spacing w:before="0" w:after="0" w:line="408" w:lineRule="exact"/>
        <w:ind w:left="0" w:right="0" w:firstLine="576"/>
        <w:jc w:val="left"/>
      </w:pPr>
      <w:r>
        <w:rPr/>
        <w:t xml:space="preserve">(3) An insurer may not take an underwriting action on a policy described in subsection (2) of this section because an insured has made one or more insurance claims for any loss that occurred during the preceding sixty months that is the result of </w:t>
      </w:r>
      <w:r>
        <w:t>((</w:t>
      </w:r>
      <w:r>
        <w:rPr>
          <w:strike/>
        </w:rPr>
        <w:t xml:space="preserve">malicious harassment</w:t>
      </w:r>
      <w:r>
        <w:t>))</w:t>
      </w:r>
      <w:r>
        <w:rPr/>
        <w:t xml:space="preserve"> </w:t>
      </w:r>
      <w:r>
        <w:rPr>
          <w:u w:val="single"/>
        </w:rPr>
        <w:t xml:space="preserve">a hate crime offense</w:t>
      </w:r>
      <w:r>
        <w:rPr/>
        <w:t xml:space="preserve">. An insurer may take an underwriting action due to other factors that are not prohibited by this subsection.</w:t>
      </w:r>
    </w:p>
    <w:p>
      <w:pPr>
        <w:spacing w:before="0" w:after="0" w:line="408" w:lineRule="exact"/>
        <w:ind w:left="0" w:right="0" w:firstLine="576"/>
        <w:jc w:val="left"/>
      </w:pPr>
      <w:r>
        <w:rPr/>
        <w:t xml:space="preserve">(4) If an insured sustains a loss that is the result of </w:t>
      </w:r>
      <w:r>
        <w:t>((</w:t>
      </w:r>
      <w:r>
        <w:rPr>
          <w:strike/>
        </w:rPr>
        <w:t xml:space="preserve">malicious harassment</w:t>
      </w:r>
      <w:r>
        <w:t>))</w:t>
      </w:r>
      <w:r>
        <w:rPr/>
        <w:t xml:space="preserve"> </w:t>
      </w:r>
      <w:r>
        <w:rPr>
          <w:u w:val="single"/>
        </w:rPr>
        <w:t xml:space="preserve">a hate crime offense</w:t>
      </w:r>
      <w:r>
        <w:rPr/>
        <w:t xml:space="preserve">, the insured must file a report with the police or other law enforcement authority within thirty days of discovery of the incident, and a law enforcement authority must determine that a crime has occurred. The report must contain sufficient information to provide an insurer with reasonable notice that the loss was the result of </w:t>
      </w:r>
      <w:r>
        <w:t>((</w:t>
      </w:r>
      <w:r>
        <w:rPr>
          <w:strike/>
        </w:rPr>
        <w:t xml:space="preserve">malicious harassment</w:t>
      </w:r>
      <w:r>
        <w:t>))</w:t>
      </w:r>
      <w:r>
        <w:rPr/>
        <w:t xml:space="preserve"> </w:t>
      </w:r>
      <w:r>
        <w:rPr>
          <w:u w:val="single"/>
        </w:rPr>
        <w:t xml:space="preserve">a hate crime offense</w:t>
      </w:r>
      <w:r>
        <w:rPr/>
        <w:t xml:space="preserve">. The insured has a duty to cooperate with any law enforcement official or insurer investigation. </w:t>
      </w:r>
      <w:r>
        <w:t>((</w:t>
      </w:r>
      <w:r>
        <w:rPr>
          <w:strike/>
        </w:rPr>
        <w:t xml:space="preserve">For incidents of malicious harassment occurring prior to July 27, 2003, the insured must file the report within six months of the discovery of the incident.</w:t>
      </w:r>
      <w:r>
        <w:t>))</w:t>
      </w:r>
    </w:p>
    <w:p>
      <w:pPr>
        <w:spacing w:before="0" w:after="0" w:line="408" w:lineRule="exact"/>
        <w:ind w:left="0" w:right="0" w:firstLine="576"/>
        <w:jc w:val="left"/>
      </w:pPr>
      <w:r>
        <w:rPr/>
        <w:t xml:space="preserve">(5) Annually, each insurer must report underwriting actions to the commissioner if the insurer has taken an underwriting action against any insured who has filed a claim during the preceding sixty months that was the result of </w:t>
      </w:r>
      <w:r>
        <w:t>((</w:t>
      </w:r>
      <w:r>
        <w:rPr>
          <w:strike/>
        </w:rPr>
        <w:t xml:space="preserve">malicious harassment</w:t>
      </w:r>
      <w:r>
        <w:t>))</w:t>
      </w:r>
      <w:r>
        <w:rPr/>
        <w:t xml:space="preserve"> </w:t>
      </w:r>
      <w:r>
        <w:rPr>
          <w:u w:val="single"/>
        </w:rPr>
        <w:t xml:space="preserve">a hate crime offense</w:t>
      </w:r>
      <w:r>
        <w:rPr/>
        <w:t xml:space="preserve">. The report must include the policy number, name of the insured, location of the property, and the reason for the underwriting action.</w:t>
      </w:r>
    </w:p>
    <w:p/>
    <w:p>
      <w:pPr>
        <w:jc w:val="center"/>
      </w:pPr>
      <w:r>
        <w:rPr>
          <w:b/>
        </w:rPr>
        <w:t>--- END ---</w:t>
      </w:r>
    </w:p>
    <w:sectPr>
      <w:pgNumType w:start="1"/>
      <w:footerReference xmlns:r="http://schemas.openxmlformats.org/officeDocument/2006/relationships" r:id="R6c5374c5aca74e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dd4806293f4bf4" /><Relationship Type="http://schemas.openxmlformats.org/officeDocument/2006/relationships/footer" Target="/word/footer1.xml" Id="R6c5374c5aca74e92" /></Relationships>
</file>