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2644f603db438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Gregerson, Kloba, Peterson, Valdez, Pollet, Wylie, Appleton, Bergquist, Doglio, Reeves, Tharinger, Kirby, Jinkins, and Macri)</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manufactured/mobile home tenant protections; amending RCW 59.20.030, 59.20.045, 59.20.050, 59.20.060, 59.20.070, 59.20.073, 59.20.080, 59.20.210, and 59.21.030; adding a new section to chapter 59.20 RCW; and adding a new section to chapter 59.21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w:t>
      </w:r>
      <w:r>
        <w:rPr>
          <w:u w:val="single"/>
        </w:rPr>
        <w:t xml:space="preserve">"Housing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u w:val="single"/>
        </w:rPr>
        <w:t xml:space="preserve">(4)</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"Landlord" means the owner of a mobile home park and includes the agents of a landlord;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"Manufactured/mobile home" means either a manufactured home or a mobile home;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"Tenant" means any person, except a transient, who rents a mobile home lot;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"Transient" means a person who rents a mobile home lot for a period of less than one month for purposes other than as a primary residence;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"Occupant" means any person, including a live-in care provider, other than a tenant, who occupies a mobile home, manufactured home, or park model and mobile home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045</w:t>
      </w:r>
      <w:r>
        <w:rPr/>
        <w:t xml:space="preserve"> and 1993 c 66 s 18 are each amended to read as follows:</w:t>
      </w:r>
    </w:p>
    <w:p>
      <w:pPr>
        <w:spacing w:before="0" w:after="0" w:line="408" w:lineRule="exact"/>
        <w:ind w:left="0" w:right="0" w:firstLine="576"/>
        <w:jc w:val="left"/>
      </w:pPr>
      <w:r>
        <w:rPr/>
        <w:t xml:space="preserve">Rules are enforceable against a tenant only if:</w:t>
      </w:r>
    </w:p>
    <w:p>
      <w:pPr>
        <w:spacing w:before="0" w:after="0" w:line="408" w:lineRule="exact"/>
        <w:ind w:left="0" w:right="0" w:firstLine="576"/>
        <w:jc w:val="left"/>
      </w:pPr>
      <w:r>
        <w:rPr/>
        <w:t xml:space="preserve">(1) Their purpose is to promote the convenience, health, safety, or welfare of the residents, protect and preserve the premises from abusive use, or make a fair distribution of services and facilities made available for the tenants generally;</w:t>
      </w:r>
    </w:p>
    <w:p>
      <w:pPr>
        <w:spacing w:before="0" w:after="0" w:line="408" w:lineRule="exact"/>
        <w:ind w:left="0" w:right="0" w:firstLine="576"/>
        <w:jc w:val="left"/>
      </w:pPr>
      <w:r>
        <w:rPr/>
        <w:t xml:space="preserve">(2) They are reasonably related to the purpose for which they are adopted;</w:t>
      </w:r>
    </w:p>
    <w:p>
      <w:pPr>
        <w:spacing w:before="0" w:after="0" w:line="408" w:lineRule="exact"/>
        <w:ind w:left="0" w:right="0" w:firstLine="576"/>
        <w:jc w:val="left"/>
      </w:pPr>
      <w:r>
        <w:rPr/>
        <w:t xml:space="preserve">(3) They apply to all tenants in a fair manner;</w:t>
      </w:r>
    </w:p>
    <w:p>
      <w:pPr>
        <w:spacing w:before="0" w:after="0" w:line="408" w:lineRule="exact"/>
        <w:ind w:left="0" w:right="0" w:firstLine="576"/>
        <w:jc w:val="left"/>
      </w:pPr>
      <w:r>
        <w:rPr/>
        <w:t xml:space="preserve">(4) They are not for the purpose of evading an obligation of the landlord; </w:t>
      </w:r>
      <w:r>
        <w:t>((</w:t>
      </w:r>
      <w:r>
        <w:rPr>
          <w:strike/>
        </w:rPr>
        <w:t xml:space="preserve">and</w:t>
      </w:r>
      <w:r>
        <w:t>))</w:t>
      </w:r>
    </w:p>
    <w:p>
      <w:pPr>
        <w:spacing w:before="0" w:after="0" w:line="408" w:lineRule="exact"/>
        <w:ind w:left="0" w:right="0" w:firstLine="576"/>
        <w:jc w:val="left"/>
      </w:pPr>
      <w:r>
        <w:rPr/>
        <w:t xml:space="preserve">(5) They are not retaliatory or discriminatory in nature</w:t>
      </w:r>
      <w:r>
        <w:rPr>
          <w:u w:val="single"/>
        </w:rPr>
        <w:t xml:space="preserve">; and</w:t>
      </w:r>
    </w:p>
    <w:p>
      <w:pPr>
        <w:spacing w:before="0" w:after="0" w:line="408" w:lineRule="exact"/>
        <w:ind w:left="0" w:right="0" w:firstLine="576"/>
        <w:jc w:val="left"/>
      </w:pPr>
      <w:r>
        <w:rPr>
          <w:u w:val="single"/>
        </w:rPr>
        <w:t xml:space="preserve">(6) With respect to any new or amended rules not contained within the rental agreement:</w:t>
      </w:r>
    </w:p>
    <w:p>
      <w:pPr>
        <w:spacing w:before="0" w:after="0" w:line="408" w:lineRule="exact"/>
        <w:ind w:left="0" w:right="0" w:firstLine="576"/>
        <w:jc w:val="left"/>
      </w:pPr>
      <w:r>
        <w:rPr>
          <w:u w:val="single"/>
        </w:rPr>
        <w:t xml:space="preserve">(a) They only go into effect at the end of the term of the rental agreement; and</w:t>
      </w:r>
    </w:p>
    <w:p>
      <w:pPr>
        <w:spacing w:before="0" w:after="0" w:line="408" w:lineRule="exact"/>
        <w:ind w:left="0" w:right="0" w:firstLine="576"/>
        <w:jc w:val="left"/>
      </w:pPr>
      <w:r>
        <w:rPr>
          <w:u w:val="single"/>
        </w:rPr>
        <w:t xml:space="preserve">(b)(i) The tenant has agreed, in writing, to the new or amended rule; or</w:t>
      </w:r>
    </w:p>
    <w:p>
      <w:pPr>
        <w:spacing w:before="0" w:after="0" w:line="408" w:lineRule="exact"/>
        <w:ind w:left="0" w:right="0" w:firstLine="576"/>
        <w:jc w:val="left"/>
      </w:pPr>
      <w:r>
        <w:rPr>
          <w:u w:val="single"/>
        </w:rPr>
        <w:t xml:space="preserve">(ii) The tenant was provided at least ninety days' written notice of the new or amended rule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050</w:t>
      </w:r>
      <w:r>
        <w:rPr/>
        <w:t xml:space="preserve"> and 1999 c 359 s 4 are each amended to read as follows:</w:t>
      </w:r>
    </w:p>
    <w:p>
      <w:pPr>
        <w:spacing w:before="0" w:after="0" w:line="408" w:lineRule="exact"/>
        <w:ind w:left="0" w:right="0" w:firstLine="576"/>
        <w:jc w:val="left"/>
      </w:pPr>
      <w:r>
        <w:rPr/>
        <w:t xml:space="preserve">(1) No landlord may offer a mobile home lot for rent to anyone without offering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No landlord may offer to anyone any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for which the monthly rental is greater, or the terms of payment or other material conditions more burdensome to the tenant, than any month-to-month rental agreement also offered to such tenant or prospective tenant. Anyone who desires to occupy a mobile home lot for other than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may have the option to be on a month-to-month basis but must waive, in writing, the right to such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term: PROVIDED, That annually, at any anniversary date of the tenancy the tenant may require that the landlord provide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No landlord shall allow a mobile home, manufactured home, or park model to be moved into a mobile home park in this state until a written rental agreement has been signed by and is in the possession of the parties: PROVIDED, That if the landlord allows the tenant to move a mobile home, manufactured home, or park model into a mobile home park without obtaining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or a written waiver of the right to a </w:t>
      </w:r>
      <w:r>
        <w:t>((</w:t>
      </w:r>
      <w:r>
        <w:rPr>
          <w:strike/>
        </w:rPr>
        <w:t xml:space="preserve">one</w:t>
      </w:r>
      <w:r>
        <w:t>))</w:t>
      </w:r>
      <w:r>
        <w:rPr/>
        <w:t xml:space="preserve"> </w:t>
      </w:r>
      <w:r>
        <w:rPr>
          <w:u w:val="single"/>
        </w:rPr>
        <w:t xml:space="preserve">two</w:t>
      </w:r>
      <w:r>
        <w:rPr/>
        <w:t xml:space="preserve">-year term or more, the term of the tenancy shall be deemed to be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from the date of occupancy of the mobile home lot;</w:t>
      </w:r>
    </w:p>
    <w:p>
      <w:pPr>
        <w:spacing w:before="0" w:after="0" w:line="408" w:lineRule="exact"/>
        <w:ind w:left="0" w:right="0" w:firstLine="576"/>
        <w:jc w:val="left"/>
      </w:pPr>
      <w:r>
        <w:rPr/>
        <w:t xml:space="preserve">(2) The requirements of subsection (1) of this section shall not apply if:</w:t>
      </w:r>
    </w:p>
    <w:p>
      <w:pPr>
        <w:spacing w:before="0" w:after="0" w:line="408" w:lineRule="exact"/>
        <w:ind w:left="0" w:right="0" w:firstLine="576"/>
        <w:jc w:val="left"/>
      </w:pPr>
      <w:r>
        <w:rPr/>
        <w:t xml:space="preserve">(a) The mobile home park or part thereof has been acquired or is under imminent threat of condemnation for a public works project, or</w:t>
      </w:r>
    </w:p>
    <w:p>
      <w:pPr>
        <w:spacing w:before="0" w:after="0" w:line="408" w:lineRule="exact"/>
        <w:ind w:left="0" w:right="0" w:firstLine="576"/>
        <w:jc w:val="left"/>
      </w:pPr>
      <w:r>
        <w:rPr/>
        <w:t xml:space="preserve">(b) An employer-employee relationship exists between a landlord and tenant;</w:t>
      </w:r>
    </w:p>
    <w:p>
      <w:pPr>
        <w:spacing w:before="0" w:after="0" w:line="408" w:lineRule="exact"/>
        <w:ind w:left="0" w:right="0" w:firstLine="576"/>
        <w:jc w:val="left"/>
      </w:pPr>
      <w:r>
        <w:rPr/>
        <w:t xml:space="preserve">(3) The provisions of this section shall apply to any tenancy upon expiration of the term of any oral or written rental agreement governing such tenancy.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w:t>
      </w:r>
      <w:r>
        <w:t>((</w:t>
      </w:r>
      <w:r>
        <w:rPr>
          <w:strike/>
        </w:rPr>
        <w:t xml:space="preserve">three</w:t>
      </w:r>
      <w:r>
        <w:t>))</w:t>
      </w:r>
      <w:r>
        <w:rPr/>
        <w:t xml:space="preserve"> </w:t>
      </w:r>
      <w:r>
        <w:rPr>
          <w:u w:val="single"/>
        </w:rPr>
        <w:t xml:space="preserve">five</w:t>
      </w:r>
      <w:r>
        <w:rPr/>
        <w:t xml:space="preserv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or that the landlord may close the park at any time after the required </w:t>
      </w:r>
      <w:r>
        <w:rPr>
          <w:u w:val="single"/>
        </w:rPr>
        <w:t xml:space="preserve">three-year closure</w:t>
      </w:r>
      <w:r>
        <w:rPr/>
        <w:t xml:space="preserve"> notice </w:t>
      </w:r>
      <w:r>
        <w:rPr>
          <w:u w:val="single"/>
        </w:rPr>
        <w:t xml:space="preserve">as provided in RCW 59.20.080</w:t>
      </w:r>
      <w:r>
        <w:rPr/>
        <w:t xml:space="preserv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r>
        <w:t>((</w:t>
      </w:r>
      <w:r>
        <w:rPr>
          <w:strike/>
        </w:rPr>
        <w:t xml:space="preserve">.</w:t>
      </w:r>
      <w:r>
        <w:t>))</w:t>
      </w:r>
      <w:r>
        <w:rPr>
          <w:u w:val="single"/>
        </w:rPr>
        <w:t xml:space="preserve">;</w:t>
      </w:r>
    </w:p>
    <w:p>
      <w:pPr>
        <w:spacing w:before="0" w:after="0" w:line="408" w:lineRule="exact"/>
        <w:ind w:left="0" w:right="0" w:firstLine="576"/>
        <w:jc w:val="left"/>
      </w:pPr>
      <w:r>
        <w:rPr/>
        <w:t xml:space="preserve">(h) </w:t>
      </w:r>
      <w:r>
        <w:rPr>
          <w:u w:val="single"/>
        </w:rPr>
        <w:t xml:space="preserve">A copy of a closure notice, as required in RCW 59.20.080, if such notice is in effect;</w:t>
      </w:r>
    </w:p>
    <w:p>
      <w:pPr>
        <w:spacing w:before="0" w:after="0" w:line="408" w:lineRule="exact"/>
        <w:ind w:left="0" w:right="0" w:firstLine="576"/>
        <w:jc w:val="left"/>
      </w:pPr>
      <w:r>
        <w:rPr>
          <w:u w:val="single"/>
        </w:rPr>
        <w:t xml:space="preserve">(i)</w:t>
      </w:r>
      <w:r>
        <w:rPr/>
        <w:t xml:space="preserve">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listing of the utilities, services, and facilities which will be available to the tenant during the tenancy and the nature of the fees, if any, to be charged </w:t>
      </w:r>
      <w:r>
        <w:rPr>
          <w:u w:val="single"/>
        </w:rPr>
        <w:t xml:space="preserve">together with a statement that, in the event any utilities, services, or facilities are changed to be charged independent of the rent, discontinued or eliminated during the term of the rental agreement, the landlord agrees to decrease the amount of rent charged proportionately</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written description, picture, plan, or map of the location of the tenant's responsibility for utility hook-ups, consistent with RCW 59.20.130(6);</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statement of the current zoning of the land on which the mobile home park is located;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(n)</w:t>
      </w:r>
      <w:r>
        <w:rPr/>
        <w:t xml:space="preserve"> A statement of the expiration date of any conditional use, temporary use, or other land use permit subject to a fixed expiration date that is necessary for the continued use of the land as a mobile home park</w:t>
      </w:r>
      <w:r>
        <w:rPr>
          <w:u w:val="single"/>
        </w:rPr>
        <w:t xml:space="preserve">; and</w:t>
      </w:r>
    </w:p>
    <w:p>
      <w:pPr>
        <w:spacing w:before="0" w:after="0" w:line="408" w:lineRule="exact"/>
        <w:ind w:left="0" w:right="0" w:firstLine="576"/>
        <w:jc w:val="left"/>
      </w:pPr>
      <w:r>
        <w:rPr>
          <w:u w:val="single"/>
        </w:rPr>
        <w:t xml:space="preserve">(o) A written statement containing accurate historical information regarding the past five years' rental amount charged for the lot or space</w:t>
      </w:r>
      <w:r>
        <w:rPr/>
        <w:t xml:space="preserv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(ii) more frequently than </w:t>
      </w:r>
      <w:r>
        <w:t>((</w:t>
      </w:r>
      <w:r>
        <w:rPr>
          <w:strike/>
        </w:rPr>
        <w:t xml:space="preserve">annually</w:t>
      </w:r>
      <w:r>
        <w:t>))</w:t>
      </w:r>
      <w:r>
        <w:rPr/>
        <w:t xml:space="preserve"> </w:t>
      </w:r>
      <w:r>
        <w:rPr>
          <w:u w:val="single"/>
        </w:rPr>
        <w:t xml:space="preserve">biennially</w:t>
      </w:r>
      <w:r>
        <w:rPr/>
        <w:t xml:space="preserve"> if the term is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may provide for </w:t>
      </w:r>
      <w:r>
        <w:t>((</w:t>
      </w:r>
      <w:r>
        <w:rPr>
          <w:strike/>
        </w:rPr>
        <w:t xml:space="preserve">annual</w:t>
      </w:r>
      <w:r>
        <w:t>))</w:t>
      </w:r>
      <w:r>
        <w:rPr/>
        <w:t xml:space="preserve"> </w:t>
      </w:r>
      <w:r>
        <w:rPr>
          <w:u w:val="single"/>
        </w:rPr>
        <w:t xml:space="preserve">biennial</w:t>
      </w:r>
      <w:r>
        <w:rPr/>
        <w:t xml:space="preserve"> increases in rent in specified amounts or by a formula specified in such agreement;</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2012 c 213 s 2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w:t>
      </w:r>
      <w:r>
        <w:rPr>
          <w:u w:val="single"/>
        </w:rPr>
        <w:t xml:space="preserve">, housing and low-income assistance organizations,</w:t>
      </w:r>
      <w:r>
        <w:rPr/>
        <w:t xml:space="preserve">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w:t>
      </w:r>
      <w:r>
        <w:rPr>
          <w:u w:val="single"/>
        </w:rPr>
        <w:t xml:space="preserve">meetings with housing and low-income assistance organizations,</w:t>
      </w:r>
      <w:r>
        <w:rPr/>
        <w:t xml:space="preserve">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w:t>
      </w:r>
      <w:r>
        <w:rPr>
          <w:u w:val="single"/>
        </w:rPr>
        <w:t xml:space="preserve">, housing and low-income assistance organization,</w:t>
      </w:r>
      <w:r>
        <w:rPr/>
        <w:t xml:space="preserve">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 Remove or exclude a tenant from the premises unless this chapter is complied with or the exclusion or removal is under an appropriate court order; or</w:t>
      </w:r>
    </w:p>
    <w:p>
      <w:pPr>
        <w:spacing w:before="0" w:after="0" w:line="408" w:lineRule="exact"/>
        <w:ind w:left="0" w:right="0" w:firstLine="576"/>
        <w:jc w:val="left"/>
      </w:pPr>
      <w:r>
        <w:rPr/>
        <w:t xml:space="preserve">(8) Prevent the entry or require the removal of a mobile home, manufactured home, or park model for the sole reason that the mobile home has reached a certain age. Nothing in this subsection shall limit a </w:t>
      </w:r>
      <w:r>
        <w:t>((</w:t>
      </w:r>
      <w:r>
        <w:rPr>
          <w:strike/>
        </w:rPr>
        <w:t xml:space="preserve">landlords'</w:t>
      </w:r>
      <w:r>
        <w:t>))</w:t>
      </w:r>
      <w:r>
        <w:rPr/>
        <w:t xml:space="preserve"> </w:t>
      </w:r>
      <w:r>
        <w:rPr>
          <w:u w:val="single"/>
        </w:rPr>
        <w:t xml:space="preserve">landlord's</w:t>
      </w:r>
      <w:r>
        <w:rPr/>
        <w:t xml:space="preserve">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rPr/>
        <w:t xml:space="preserve">(3) </w:t>
      </w:r>
      <w:r>
        <w:t>((</w:t>
      </w:r>
      <w:r>
        <w:rPr>
          <w:strike/>
        </w:rPr>
        <w:t xml:space="preserve">The landlord shall notify the selling tenant, in writing, of a refusal to permit transfer of the rental agreement at least seven days in advance of such intended transfer.</w:t>
      </w:r>
      <w:r>
        <w:t>))</w:t>
      </w:r>
      <w:r>
        <w:rPr/>
        <w:t xml:space="preserve"> </w:t>
      </w:r>
      <w:r>
        <w:rPr>
          <w:u w:val="single"/>
        </w:rPr>
        <w:t xml:space="preserve">At least seven days in advance of such intended transfer, the landlord shall:</w:t>
      </w:r>
    </w:p>
    <w:p>
      <w:pPr>
        <w:spacing w:before="0" w:after="0" w:line="408" w:lineRule="exact"/>
        <w:ind w:left="0" w:right="0" w:firstLine="576"/>
        <w:jc w:val="left"/>
      </w:pPr>
      <w:r>
        <w:rPr>
          <w:u w:val="single"/>
        </w:rPr>
        <w:t xml:space="preserve">(a) Notify the selling tenant, in writing, of a refusal to permit transfer of the rental agreement; or</w:t>
      </w:r>
    </w:p>
    <w:p>
      <w:pPr>
        <w:spacing w:before="0" w:after="0" w:line="408" w:lineRule="exact"/>
        <w:ind w:left="0" w:right="0" w:firstLine="576"/>
        <w:jc w:val="left"/>
      </w:pPr>
      <w:r>
        <w:rPr>
          <w:u w:val="single"/>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rPr/>
        <w:t xml:space="preserve">(4)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rPr/>
        <w:t xml:space="preserve">(5)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rPr/>
        <w:t xml:space="preserve">(6) Failure to notify the landlord in writing, as required under subsection (2)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Substantial violation, or repeated or periodic violations, of an enforceable rule of the mobile home park as established by the landlord at the inception of the tenancy or as assumed subsequently with the consent of the tenant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w:t>
      </w:r>
      <w:r>
        <w:t>((</w:t>
      </w:r>
      <w:r>
        <w:rPr>
          <w:strike/>
        </w:rPr>
        <w:t xml:space="preserve">fifteen</w:t>
      </w:r>
      <w:r>
        <w:t>))</w:t>
      </w:r>
      <w:r>
        <w:rPr/>
        <w:t xml:space="preserve"> </w:t>
      </w:r>
      <w:r>
        <w:rPr>
          <w:u w:val="single"/>
        </w:rPr>
        <w:t xml:space="preserve">thirty</w:t>
      </w:r>
      <w:r>
        <w:rPr/>
        <w:t xml:space="preserve">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five</w:t>
      </w:r>
      <w:r>
        <w:t>))</w:t>
      </w:r>
      <w:r>
        <w:rPr/>
        <w:t xml:space="preserve"> </w:t>
      </w:r>
      <w:r>
        <w:rPr>
          <w:u w:val="single"/>
        </w:rPr>
        <w:t xml:space="preserve">fifteen</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 in advance of the effective date of such change</w:t>
      </w:r>
      <w:r>
        <w:rPr>
          <w:u w:val="single"/>
        </w:rPr>
        <w:t xml:space="preserve">. The three years' closure notice requirement does not apply if:</w:t>
      </w:r>
    </w:p>
    <w:p>
      <w:pPr>
        <w:spacing w:before="0" w:after="0" w:line="408" w:lineRule="exact"/>
        <w:ind w:left="0" w:right="0" w:firstLine="576"/>
        <w:jc w:val="left"/>
      </w:pPr>
      <w:r>
        <w:rPr>
          <w:u w:val="single"/>
        </w:rPr>
        <w:t xml:space="preserve">(i) The mobile home park or manufactured housing community has been acquired for or is under imminent threat of condemnation;</w:t>
      </w:r>
    </w:p>
    <w:p>
      <w:pPr>
        <w:spacing w:before="0" w:after="0" w:line="408" w:lineRule="exact"/>
        <w:ind w:left="0" w:right="0" w:firstLine="576"/>
        <w:jc w:val="left"/>
      </w:pPr>
      <w:r>
        <w:rPr>
          <w:u w:val="single"/>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u w:val="single"/>
        </w:rPr>
        <w:t xml:space="preserve">(iii) The landlord compensates the tenants for the loss of their homes at their assessed value at any point during the three years' notice period and prior to a change of use or sale of the property. At such time as the compensation is paid, the tenant shall be given written notice of at least ninety days in which to vacate, and the tenant shall continue to pay rent for as much time as he or she remains in the mobile home park or manufactured housing community</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fifteen-day</w:t>
      </w:r>
      <w:r>
        <w:t>))</w:t>
      </w:r>
      <w:r>
        <w:rPr/>
        <w:t xml:space="preserve"> </w:t>
      </w:r>
      <w:r>
        <w:rPr>
          <w:u w:val="single"/>
        </w:rPr>
        <w:t xml:space="preserve">thirty-day</w:t>
      </w:r>
      <w:r>
        <w:rPr/>
        <w:t xml:space="preserve"> notices</w:t>
      </w:r>
      <w:r>
        <w:rPr>
          <w:u w:val="single"/>
        </w:rPr>
        <w:t xml:space="preserve">, each of which was valid under (a) of this subsection at the time of service,</w:t>
      </w:r>
      <w:r>
        <w:rPr/>
        <w:t xml:space="preserve"> within a twelve-month period to comply or vacate for failure to comply with the material terms of the rental agreement or an enforceable park rule</w:t>
      </w:r>
      <w:r>
        <w:rPr>
          <w:u w:val="single"/>
        </w:rPr>
        <w:t xml:space="preserve">, other than failure to pay rent by the due date</w:t>
      </w:r>
      <w:r>
        <w:rPr/>
        <w:t xml:space="preserv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w:t>
      </w:r>
      <w:r>
        <w:t>((</w:t>
      </w:r>
      <w:r>
        <w:rPr>
          <w:strike/>
        </w:rPr>
        <w:t xml:space="preserve">five-day</w:t>
      </w:r>
      <w:r>
        <w:t>))</w:t>
      </w:r>
      <w:r>
        <w:rPr/>
        <w:t xml:space="preserve"> </w:t>
      </w:r>
      <w:r>
        <w:rPr>
          <w:u w:val="single"/>
        </w:rPr>
        <w:t xml:space="preserve">fifteen-day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w:t>
      </w:r>
      <w:r>
        <w:rPr>
          <w:u w:val="single"/>
        </w:rPr>
        <w:t xml:space="preserve">Except for a tenant evicted under subsection (1)(c) or (f) of this section, a tenant evicted from a mobile home park under this section shall be allowed one hundred twenty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u w:val="single"/>
        </w:rPr>
        <w:t xml:space="preserve">(4)</w:t>
      </w:r>
      <w:r>
        <w:rPr/>
        <w:t xml:space="preserve">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210</w:t>
      </w:r>
      <w:r>
        <w:rPr/>
        <w:t xml:space="preserve"> and 2013 c 23 s 117 are each amended to read as follows:</w:t>
      </w:r>
    </w:p>
    <w:p>
      <w:pPr>
        <w:spacing w:before="0" w:after="0" w:line="408" w:lineRule="exact"/>
        <w:ind w:left="0" w:right="0" w:firstLine="576"/>
        <w:jc w:val="left"/>
      </w:pPr>
      <w:r>
        <w:rPr/>
        <w:t xml:space="preserve">(1)</w:t>
      </w:r>
      <w:r>
        <w:rPr>
          <w:u w:val="single"/>
        </w:rPr>
        <w:t xml:space="preserve">(a)</w:t>
      </w:r>
      <w:r>
        <w:rPr/>
        <w:t xml:space="preserve"> If at any time during the tenancy, the landlord fails to carry out any of the duties imposed by RCW 59.20.130, and notice of the defect is given to the landlord pursuant to RCW 59.20.200, the tenant may submit to the landlord or the landlord's designated agent by certified mail or in person at least two bids to perform the repairs necessary to correct the defective condition from licensed or registered persons, or if no licensing or registration requirement applies to the type of work to be performed, from responsible persons capable of performing such repairs. Such bids may be submitted to the landlord at the same time as notice is given pursuant to RCW 59.20.200.</w:t>
      </w:r>
    </w:p>
    <w:p>
      <w:pPr>
        <w:spacing w:before="0" w:after="0" w:line="408" w:lineRule="exact"/>
        <w:ind w:left="0" w:right="0" w:firstLine="576"/>
        <w:jc w:val="left"/>
      </w:pPr>
      <w:r>
        <w:rPr>
          <w:u w:val="single"/>
        </w:rPr>
        <w:t xml:space="preserve">(b) Upon receipt of any such bids, the landlord shall provide the tenant with a copy of the notice regarding the manufactured/mobile home dispute resolution program that the attorney general is required to produce pursuant to RCW 59.30.030(3)(a) and that landlords are required to post pursuant to RCW 59.30.030(3)(b)(i).</w:t>
      </w:r>
    </w:p>
    <w:p>
      <w:pPr>
        <w:spacing w:before="0" w:after="0" w:line="408" w:lineRule="exact"/>
        <w:ind w:left="0" w:right="0" w:firstLine="576"/>
        <w:jc w:val="left"/>
      </w:pPr>
      <w:r>
        <w:rPr/>
        <w:t xml:space="preserve">(2) If the landlord fails to commence repair of the defective condition within a reasonable time after receipt of notice from the tenant, the tenant may contract with the person submitting the lowest bid to make the repair, and upon the completion of the repair and an opportunity for inspection by the landlord or the landlord's designated agent, the tenant may deduct the cost of repair from the rent in an amount not to exceed the sum expressed in dollars representing one month's rental of the tenant's mobile home space in any calendar year. When, however, the landlord is required to begin remedying the defective condition within thirty days under RCW 59.20.200, the tenant cannot contract for repairs for at least fifteen days following receipt of bids by the landlord. The total costs of repairs deducted by the tenant in any calendar year under this subsection shall not exceed the sum expressed in dollars representing one month's rental of the tenant's mobile home space.</w:t>
      </w:r>
    </w:p>
    <w:p>
      <w:pPr>
        <w:spacing w:before="0" w:after="0" w:line="408" w:lineRule="exact"/>
        <w:ind w:left="0" w:right="0" w:firstLine="576"/>
        <w:jc w:val="left"/>
      </w:pPr>
      <w:r>
        <w:rPr/>
        <w:t xml:space="preserve">(3) Two or more tenants shall not collectively initiate remedies under this section. Remedial action under this section shall not be initiated for conditions in the design or construction existing in a mobile home park before June 7, 1984.</w:t>
      </w:r>
    </w:p>
    <w:p>
      <w:pPr>
        <w:spacing w:before="0" w:after="0" w:line="408" w:lineRule="exact"/>
        <w:ind w:left="0" w:right="0" w:firstLine="576"/>
        <w:jc w:val="left"/>
      </w:pPr>
      <w:r>
        <w:rPr/>
        <w:t xml:space="preserve">(4) The provisions of this section shall not:</w:t>
      </w:r>
    </w:p>
    <w:p>
      <w:pPr>
        <w:spacing w:before="0" w:after="0" w:line="408" w:lineRule="exact"/>
        <w:ind w:left="0" w:right="0" w:firstLine="576"/>
        <w:jc w:val="left"/>
      </w:pPr>
      <w:r>
        <w:rPr/>
        <w:t xml:space="preserve">(a) Create a relationship of employer and employee between landlord and tenant; or</w:t>
      </w:r>
    </w:p>
    <w:p>
      <w:pPr>
        <w:spacing w:before="0" w:after="0" w:line="408" w:lineRule="exact"/>
        <w:ind w:left="0" w:right="0" w:firstLine="576"/>
        <w:jc w:val="left"/>
      </w:pPr>
      <w:r>
        <w:rPr/>
        <w:t xml:space="preserve">(b) Create liability under the worker's compensation act; or</w:t>
      </w:r>
    </w:p>
    <w:p>
      <w:pPr>
        <w:spacing w:before="0" w:after="0" w:line="408" w:lineRule="exact"/>
        <w:ind w:left="0" w:right="0" w:firstLine="576"/>
        <w:jc w:val="left"/>
      </w:pPr>
      <w:r>
        <w:rPr/>
        <w:t xml:space="preserve">(c) Constitute the tenant as an agent of the landlord for the purposes of mechanics' and material suppliers' liens under chapter 60.04 RCW.</w:t>
      </w:r>
    </w:p>
    <w:p>
      <w:pPr>
        <w:spacing w:before="0" w:after="0" w:line="408" w:lineRule="exact"/>
        <w:ind w:left="0" w:right="0" w:firstLine="576"/>
        <w:jc w:val="left"/>
      </w:pPr>
      <w:r>
        <w:rPr/>
        <w:t xml:space="preserve">(5) Any repair work performed under this section shall comply with the requirements imposed by any applicable code, statute, ordinance, or rule. A landlord whose property is damaged because of repairs performed in a negligent manner may recover the actual damages in an action against the tenant.</w:t>
      </w:r>
    </w:p>
    <w:p>
      <w:pPr>
        <w:spacing w:before="0" w:after="0" w:line="408" w:lineRule="exact"/>
        <w:ind w:left="0" w:right="0" w:firstLine="576"/>
        <w:jc w:val="left"/>
      </w:pPr>
      <w:r>
        <w:rPr/>
        <w:t xml:space="preserve">(6) Nothing in this section shall prevent the tenant from agreeing with the landlord to undertake the repairs in return for cash payment or a reasonable reduction in rent, the agreement to be between the parties, and this agreement does not alter the landlord's obligations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by the court; or (c) other good cause exists for limiting dissemination of the unlawful detainer action.</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2006 c 296 s 1 are each amended to read as follows:</w:t>
      </w:r>
    </w:p>
    <w:p>
      <w:pPr>
        <w:spacing w:before="0" w:after="0" w:line="408" w:lineRule="exact"/>
        <w:ind w:left="0" w:right="0" w:firstLine="576"/>
        <w:jc w:val="left"/>
      </w:pPr>
      <w:r>
        <w:rPr/>
        <w:t xml:space="preserve">(1) </w:t>
      </w:r>
      <w:r>
        <w:rPr>
          <w:u w:val="single"/>
        </w:rPr>
        <w:t xml:space="preserve">The closure n</w:t>
      </w:r>
      <w:r>
        <w:rPr/>
        <w:t xml:space="preserve">otice required by RCW 59.20.080 before park closure or conversion of the park</w:t>
      </w:r>
      <w:r>
        <w:t>((</w:t>
      </w:r>
      <w:r>
        <w:rPr>
          <w:strike/>
        </w:rPr>
        <w:t xml:space="preserve">, whether twelve months or longer,</w:t>
      </w:r>
      <w:r>
        <w:t>))</w:t>
      </w:r>
      <w:r>
        <w:rPr/>
        <w:t xml:space="preserve"> shall be given to the director and all tenants in writing, and posted at all park entrances.</w:t>
      </w:r>
    </w:p>
    <w:p>
      <w:pPr>
        <w:spacing w:before="0" w:after="0" w:line="408" w:lineRule="exact"/>
        <w:ind w:left="0" w:right="0" w:firstLine="576"/>
        <w:jc w:val="left"/>
      </w:pPr>
      <w:r>
        <w:rPr>
          <w:u w:val="single"/>
        </w:rPr>
        <w:t xml:space="preserve">(2) The closure notice required under RCW 59.20.080 must be in substantially the following form:</w:t>
      </w:r>
    </w:p>
    <w:p>
      <w:pPr>
        <w:spacing w:before="0" w:after="0" w:line="408" w:lineRule="exact"/>
        <w:ind w:left="0" w:right="0" w:firstLine="0"/>
        <w:jc w:val="center"/>
      </w:pPr>
      <w:r>
        <w:rPr>
          <w:u w:val="single"/>
        </w:rPr>
        <w:t xml:space="preserve">"CLOSURE NOTICE TO TENANTS</w:t>
      </w:r>
    </w:p>
    <w:p>
      <w:pPr>
        <w:spacing w:before="0" w:after="0" w:line="408" w:lineRule="exact"/>
        <w:ind w:left="0" w:right="0" w:firstLine="576"/>
        <w:jc w:val="left"/>
      </w:pPr>
      <w:r>
        <w:rPr>
          <w:u w:val="single"/>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three years after the date this closure notice is given.</w:t>
      </w:r>
    </w:p>
    <w:p>
      <w:pPr>
        <w:spacing w:before="0" w:after="0" w:line="408" w:lineRule="exact"/>
        <w:ind w:left="0" w:right="0" w:firstLine="0"/>
        <w:jc w:val="left"/>
      </w:pPr>
      <w:r>
        <w:rPr>
          <w:u w:val="single"/>
        </w:rPr>
        <w:t xml:space="preserve">PARK OR COMMUNITY MANAGEMENT OR OWNERSHIP INFORMATION:</w:t>
      </w:r>
    </w:p>
    <w:p>
      <w:pPr>
        <w:spacing w:before="0" w:after="0" w:line="408" w:lineRule="exact"/>
        <w:ind w:left="0" w:right="0" w:firstLine="576"/>
        <w:jc w:val="left"/>
      </w:pPr>
      <w:r>
        <w:rPr>
          <w:u w:val="single"/>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PURCHASER INFORMATION, if applicable:</w:t>
      </w:r>
    </w:p>
    <w:p>
      <w:pPr>
        <w:spacing w:before="0" w:after="0" w:line="408" w:lineRule="exact"/>
        <w:ind w:left="0" w:right="0" w:firstLine="576"/>
        <w:jc w:val="left"/>
      </w:pPr>
      <w:r>
        <w:rPr>
          <w:u w:val="single"/>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PARK PURCHASE BY TENANT ORGANIZATIONS, if applicable:</w:t>
      </w:r>
    </w:p>
    <w:p>
      <w:pPr>
        <w:spacing w:before="0" w:after="0" w:line="408" w:lineRule="exact"/>
        <w:ind w:left="0" w:right="0" w:firstLine="576"/>
        <w:jc w:val="left"/>
      </w:pPr>
      <w:r>
        <w:rPr>
          <w:u w:val="single"/>
        </w:rPr>
        <w:t xml:space="preserve">The owner of this mobile home park or manufactured housing community is willing to entertain an offer of purchase by an organization or group consisting of park or community tenants or a not-for-profit agency designated by the tenants. Tenants should contact the park owner or park management with such an offer. For assistance in forming an organization to purchase the park or community and for possible financial resources to assist with such a purchase, contact the Office of Mobile/Manufactured Home Relocation Assistance within the Department of Commerce.</w:t>
      </w:r>
    </w:p>
    <w:p>
      <w:pPr>
        <w:spacing w:before="0" w:after="0" w:line="408" w:lineRule="exact"/>
        <w:ind w:left="0" w:right="0" w:firstLine="0"/>
        <w:jc w:val="left"/>
      </w:pPr>
      <w:r>
        <w:rPr>
          <w:u w:val="single"/>
        </w:rPr>
        <w:t xml:space="preserve">RELOCATION ASSISTANCE RESOURCES:</w:t>
      </w:r>
    </w:p>
    <w:p>
      <w:pPr>
        <w:spacing w:before="0" w:after="0" w:line="408" w:lineRule="exact"/>
        <w:ind w:left="0" w:right="0" w:firstLine="576"/>
        <w:jc w:val="left"/>
      </w:pPr>
      <w:r>
        <w:rPr>
          <w:u w:val="single"/>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u w:val="single"/>
        </w:rPr>
        <w:t xml:space="preserve">(3)</w:t>
      </w:r>
      <w:r>
        <w:rPr/>
        <w:t xml:space="preserve"> The </w:t>
      </w:r>
      <w:r>
        <w:rPr>
          <w:u w:val="single"/>
        </w:rPr>
        <w:t xml:space="preserve">closure</w:t>
      </w:r>
      <w:r>
        <w:rPr/>
        <w:t xml:space="preserve"> notice required by RCW 59.20.080 must also meet the following requirements:</w:t>
      </w:r>
    </w:p>
    <w:p>
      <w:pPr>
        <w:spacing w:before="0" w:after="0" w:line="408" w:lineRule="exact"/>
        <w:ind w:left="0" w:right="0" w:firstLine="576"/>
        <w:jc w:val="left"/>
      </w:pPr>
      <w:r>
        <w:rPr/>
        <w:t xml:space="preserve">(a) A copy of the closure notice must be provided with all </w:t>
      </w:r>
      <w:r>
        <w:t>((</w:t>
      </w:r>
      <w:r>
        <w:rPr>
          <w:strike/>
        </w:rPr>
        <w:t xml:space="preserve">month-to-month</w:t>
      </w:r>
      <w:r>
        <w:t>))</w:t>
      </w:r>
      <w:r>
        <w:rPr/>
        <w:t xml:space="preserve"> rental agreements signed after the original park closure notice date </w:t>
      </w:r>
      <w:r>
        <w:rPr>
          <w:u w:val="single"/>
        </w:rPr>
        <w:t xml:space="preserve">as required under RCW 59.20.060</w:t>
      </w:r>
      <w:r>
        <w:rPr/>
        <w:t xml:space="preserve">;</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department must mail every tenant an application and information on relocation assistance within ten business days of receipt of the notice required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department shall produce and maintain on its web site translated versions of the notice under RCW 59.21.030 in the top ten languages spoken in Washington state and, at the discretion of the department,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department shall also provide on its web site information on where tenants can access legal or advocacy resources, including information on any immigrant and cultural organizations where tenants can receive assistance in their primary language.</w:t>
      </w:r>
    </w:p>
    <w:p/>
    <w:p>
      <w:pPr>
        <w:jc w:val="center"/>
      </w:pPr>
      <w:r>
        <w:rPr>
          <w:b/>
        </w:rPr>
        <w:t>--- END ---</w:t>
      </w:r>
    </w:p>
    <w:sectPr>
      <w:pgNumType w:start="1"/>
      <w:footerReference xmlns:r="http://schemas.openxmlformats.org/officeDocument/2006/relationships" r:id="R170a4dfa48d448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0abce6bfdd4e1a" /><Relationship Type="http://schemas.openxmlformats.org/officeDocument/2006/relationships/footer" Target="/word/footer1.xml" Id="R170a4dfa48d448b6" /></Relationships>
</file>