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f6979ea48541fb" /></Relationships>
</file>

<file path=word/document.xml><?xml version="1.0" encoding="utf-8"?>
<w:document xmlns:w="http://schemas.openxmlformats.org/wordprocessingml/2006/main">
  <w:body>
    <w:p>
      <w:r>
        <w:t>H-0790.1</w:t>
      </w:r>
    </w:p>
    <w:p>
      <w:pPr>
        <w:jc w:val="center"/>
      </w:pPr>
      <w:r>
        <w:t>_______________________________________________</w:t>
      </w:r>
    </w:p>
    <w:p/>
    <w:p>
      <w:pPr>
        <w:jc w:val="center"/>
      </w:pPr>
      <w:r>
        <w:rPr>
          <w:b/>
        </w:rPr>
        <w:t>HOUSE BILL 1540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Goodman, Frame, Appleton, and Ormsby</w:t>
      </w:r>
    </w:p>
    <w:p/>
    <w:p>
      <w:r>
        <w:rPr>
          <w:t xml:space="preserve">Read first time 01/23/19.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sentenced in adult court for certain serious offenses committed prior to reaching age eighteen; amending RCW 9.94A.730, 10.95.030, 10.95.035, and 9.94A.510;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w:t>
      </w:r>
      <w:r>
        <w:rPr>
          <w:u w:val="single"/>
        </w:rPr>
        <w:t xml:space="preserve">from sentences for those offenses</w:t>
      </w:r>
      <w:r>
        <w:rPr/>
        <w:t xml:space="preserve"> after serving no less than twenty years of total confinement, provided </w:t>
      </w:r>
      <w:r>
        <w:t>((</w:t>
      </w:r>
      <w:r>
        <w:rPr>
          <w:strike/>
        </w:rPr>
        <w:t xml:space="preserve">the person has not been convicted for any crime committed subsequent to the person's eighteenth birthday,</w:t>
      </w:r>
      <w:r>
        <w:t>))</w:t>
      </w:r>
      <w:r>
        <w:rPr/>
        <w:t xml:space="preserve"> the person has not committed a disqualifying serious infraction as defined by the department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w:t>
      </w:r>
      <w:r>
        <w:t>((</w:t>
      </w:r>
      <w:r>
        <w:rPr>
          <w:strike/>
        </w:rPr>
        <w:t xml:space="preserve">(i)</w:t>
      </w:r>
      <w:r>
        <w:t>))</w:t>
      </w:r>
      <w:r>
        <w:rPr/>
        <w:t xml:space="preserve"> Any person convicted of the crime of aggravated first degree murder for an offense committed prior to the person's </w:t>
      </w:r>
      <w:r>
        <w:t>((</w:t>
      </w:r>
      <w:r>
        <w:rPr>
          <w:strike/>
        </w:rPr>
        <w:t xml:space="preserve">sixteenth</w:t>
      </w:r>
      <w:r>
        <w:t>))</w:t>
      </w:r>
      <w:r>
        <w:rPr/>
        <w:t xml:space="preserve"> </w:t>
      </w:r>
      <w:r>
        <w:rPr>
          <w:u w:val="single"/>
        </w:rPr>
        <w:t xml:space="preserve">eighteenth</w:t>
      </w:r>
      <w:r>
        <w:rPr/>
        <w:t xml:space="preserve"> birthday shall be sentenced to a </w:t>
      </w:r>
      <w:r>
        <w:rPr>
          <w:u w:val="single"/>
        </w:rPr>
        <w:t xml:space="preserve">range of total confinement with a</w:t>
      </w:r>
      <w:r>
        <w:rPr/>
        <w:t xml:space="preserve"> maximum term </w:t>
      </w:r>
      <w:r>
        <w:t>((</w:t>
      </w:r>
      <w:r>
        <w:rPr>
          <w:strike/>
        </w:rPr>
        <w:t xml:space="preserve">of life imprisonment</w:t>
      </w:r>
      <w:r>
        <w:t>))</w:t>
      </w:r>
      <w:r>
        <w:rPr/>
        <w:t xml:space="preserve"> and a minimum term </w:t>
      </w:r>
      <w:r>
        <w:t>((</w:t>
      </w:r>
      <w:r>
        <w:rPr>
          <w:strike/>
        </w:rPr>
        <w:t xml:space="preserve">of total confinement of</w:t>
      </w:r>
      <w:r>
        <w:t>))</w:t>
      </w:r>
      <w:r>
        <w:rPr>
          <w:u w:val="single"/>
        </w:rPr>
        <w:t xml:space="preserve">. The maximum term may not exceed a life sentence, and the minimum term may not exceed</w:t>
      </w:r>
      <w:r>
        <w:rPr/>
        <w:t xml:space="preserve"> twenty-five years</w:t>
      </w:r>
      <w:r>
        <w:rPr>
          <w:u w:val="single"/>
        </w:rPr>
        <w:t xml:space="preserve">. Sentences imposed under this section must be served concurrently with sentences imposed for any other current offenses</w:t>
      </w:r>
      <w:r>
        <w:rPr/>
        <w:t xml:space="preserve">.</w:t>
      </w:r>
    </w:p>
    <w:p>
      <w:pPr>
        <w:spacing w:before="0" w:after="0" w:line="408" w:lineRule="exact"/>
        <w:ind w:left="0" w:right="0" w:firstLine="576"/>
        <w:jc w:val="left"/>
      </w:pPr>
      <w:r>
        <w:t>((</w:t>
      </w:r>
      <w:r>
        <w:rPr>
          <w:strike/>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r>
        <w:t>))</w:t>
      </w:r>
    </w:p>
    <w:p>
      <w:pPr>
        <w:spacing w:before="0" w:after="0" w:line="408" w:lineRule="exact"/>
        <w:ind w:left="0" w:right="0" w:firstLine="576"/>
        <w:jc w:val="left"/>
      </w:pPr>
      <w:r>
        <w:rPr/>
        <w:t xml:space="preserve">(b) In setting </w:t>
      </w:r>
      <w:r>
        <w:t>((</w:t>
      </w:r>
      <w:r>
        <w:rPr>
          <w:strike/>
        </w:rPr>
        <w:t xml:space="preserve">a</w:t>
      </w:r>
      <w:r>
        <w:t>))</w:t>
      </w:r>
      <w:r>
        <w:rPr/>
        <w:t xml:space="preserve"> </w:t>
      </w:r>
      <w:r>
        <w:rPr>
          <w:u w:val="single"/>
        </w:rPr>
        <w:t xml:space="preserve">maximum and</w:t>
      </w:r>
      <w:r>
        <w:rPr/>
        <w:t xml:space="preserve"> minimum term</w:t>
      </w:r>
      <w:r>
        <w:rPr>
          <w:u w:val="single"/>
        </w:rPr>
        <w:t xml:space="preserve">s</w:t>
      </w:r>
      <w:r>
        <w:rPr/>
        <w:t xml:space="preserve">, the court must take into account mitigating factors that account for the diminished culpability of youth as provided in </w:t>
      </w:r>
      <w:r>
        <w:rPr>
          <w:i/>
        </w:rPr>
        <w:t xml:space="preserve">Miller v. Alabama</w:t>
      </w:r>
      <w:r>
        <w:rPr/>
        <w:t xml:space="preserve">, </w:t>
      </w:r>
      <w:r>
        <w:t>((</w:t>
      </w:r>
      <w:r>
        <w:rPr>
          <w:strike/>
        </w:rPr>
        <w:t xml:space="preserve">132 S.Ct. 2455</w:t>
      </w:r>
      <w:r>
        <w:t>))</w:t>
      </w:r>
      <w:r>
        <w:rPr/>
        <w:t xml:space="preserve"> </w:t>
      </w:r>
      <w:r>
        <w:rPr>
          <w:u w:val="single"/>
        </w:rPr>
        <w:t xml:space="preserve">567 U.S. 460</w:t>
      </w:r>
      <w:r>
        <w:rPr/>
        <w:t xml:space="preserve"> (2012) including, but not limited to, the age of the individual, the youth's childhood and life experience, the degree of responsibility the youth was capable of exercising, </w:t>
      </w:r>
      <w:r>
        <w:t>((</w:t>
      </w:r>
      <w:r>
        <w:rPr>
          <w:strike/>
        </w:rPr>
        <w:t xml:space="preserve">and</w:t>
      </w:r>
      <w:r>
        <w:t>))</w:t>
      </w:r>
      <w:r>
        <w:rPr/>
        <w:t xml:space="preserve"> the youth's chances of becoming rehabilitated</w:t>
      </w:r>
      <w:r>
        <w:rPr>
          <w:u w:val="single"/>
        </w:rPr>
        <w:t xml:space="preserve">, and any progress towards rehabilitation demonstrated by the youth following the commission of the crime for which he or she is being sentenced</w:t>
      </w:r>
      <w:r>
        <w:rPr/>
        <w:t xml:space="preserve">.</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2015 c 134 s 7 are each amended to read as follows:</w:t>
      </w:r>
    </w:p>
    <w:p>
      <w:pPr>
        <w:spacing w:before="0" w:after="0" w:line="408" w:lineRule="exact"/>
        <w:ind w:left="0" w:right="0" w:firstLine="576"/>
        <w:jc w:val="left"/>
      </w:pPr>
      <w:r>
        <w:rPr/>
        <w:t xml:space="preserve">(1) A person, who was sentenced prior to </w:t>
      </w:r>
      <w:r>
        <w:t>((</w:t>
      </w:r>
      <w:r>
        <w:rPr>
          <w:strike/>
        </w:rPr>
        <w:t xml:space="preserve">June 1, 2014, under this chapter or any prior law, to a term of life without the possibility of parole for an offense</w:t>
      </w:r>
      <w:r>
        <w:t>))</w:t>
      </w:r>
      <w:r>
        <w:rPr/>
        <w:t xml:space="preserve"> </w:t>
      </w:r>
      <w:r>
        <w:rPr>
          <w:u w:val="single"/>
        </w:rPr>
        <w:t xml:space="preserve">the effective date of this section and is still incarcerated as of the effective date of this section for a conviction of aggravated murder</w:t>
      </w:r>
      <w:r>
        <w:rPr/>
        <w:t xml:space="preserve"> committed prior to </w:t>
      </w:r>
      <w:r>
        <w:t>((</w:t>
      </w:r>
      <w:r>
        <w:rPr>
          <w:strike/>
        </w:rPr>
        <w:t xml:space="preserve">their</w:t>
      </w:r>
      <w:r>
        <w:t>))</w:t>
      </w:r>
      <w:r>
        <w:rPr/>
        <w:t xml:space="preserve"> </w:t>
      </w:r>
      <w:r>
        <w:rPr>
          <w:u w:val="single"/>
        </w:rPr>
        <w:t xml:space="preserve">his or her</w:t>
      </w:r>
      <w:r>
        <w:rPr/>
        <w:t xml:space="preserve"> eighteenth birthday, shall be returned to the sentencing court or the sentencing court's successor for sentencing consistent with RCW 10.95.030 </w:t>
      </w:r>
      <w:r>
        <w:rPr>
          <w:u w:val="single"/>
        </w:rPr>
        <w:t xml:space="preserve">and </w:t>
      </w:r>
      <w:r>
        <w:rPr>
          <w:i/>
          <w:u w:val="single"/>
        </w:rPr>
        <w:t xml:space="preserve">Miller v. Alabama</w:t>
      </w:r>
      <w:r>
        <w:rPr>
          <w:u w:val="single"/>
        </w:rPr>
        <w:t xml:space="preserve">, 567 U.S. 460 (2012)</w:t>
      </w:r>
      <w:r>
        <w:rPr/>
        <w:t xml:space="preserve">. </w:t>
      </w:r>
      <w:r>
        <w:rPr>
          <w:u w:val="single"/>
        </w:rPr>
        <w:t xml:space="preserve">The r</w:t>
      </w:r>
      <w:r>
        <w:rPr/>
        <w:t xml:space="preserve">elease and supervision of a person </w:t>
      </w:r>
      <w:r>
        <w:t>((</w:t>
      </w:r>
      <w:r>
        <w:rPr>
          <w:strike/>
        </w:rPr>
        <w:t xml:space="preserve">who receives a minimum term of less than life</w:t>
      </w:r>
      <w:r>
        <w:t>))</w:t>
      </w:r>
      <w:r>
        <w:rPr/>
        <w:t xml:space="preserve"> </w:t>
      </w:r>
      <w:r>
        <w:rPr>
          <w:u w:val="single"/>
        </w:rPr>
        <w:t xml:space="preserve">resentenced pursuant to this section</w:t>
      </w:r>
      <w:r>
        <w:rPr/>
        <w:t xml:space="preserv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1</w:t>
      </w:r>
    </w:p>
    <w:p>
      <w:pPr>
        <w:spacing w:before="0" w:after="120" w:line="408" w:lineRule="exact"/>
        <w:ind w:left="0" w:right="0" w:firstLine="0"/>
        <w:jc w:val="center"/>
      </w:pPr>
      <w:r>
        <w:rPr/>
        <w:t xml:space="preserve">Sentencing Grid</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bottom"/>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Life sentence without parole/death penalty for offenders at or over the age of eighteen. For offenders under the age of eighteen, </w:t>
            </w:r>
            <w:r>
              <w:t>((</w:t>
            </w:r>
            <w:r>
              <w:rPr>
                <w:rFonts w:ascii="Times New Roman" w:hAnsi="Times New Roman"/>
                <w:strike/>
                <w:sz w:val="14"/>
              </w:rPr>
              <w:t xml:space="preserve">a term of twenty-five years to life</w:t>
            </w:r>
            <w:r>
              <w:t>))</w:t>
            </w:r>
            <w:r>
              <w:rPr>
                <w:rFonts w:ascii="Times New Roman" w:hAnsi="Times New Roman"/>
                <w:sz w:val="14"/>
              </w:rPr>
              <w:t xml:space="preserve"> </w:t>
            </w:r>
            <w:r>
              <w:rPr>
                <w:rFonts w:ascii="Times New Roman" w:hAnsi="Times New Roman"/>
                <w:sz w:val="14"/>
                <w:u w:val="single"/>
              </w:rPr>
              <w:t xml:space="preserve">an indeterminate term pursuant to RCW 10.95.030</w:t>
            </w:r>
            <w:r>
              <w:rPr>
                <w:rFonts w:ascii="Times New Roman" w:hAnsi="Times New Roman"/>
                <w:sz w:val="14"/>
              </w:rPr>
              <w:t xml:space="preserv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
      <w:pPr>
        <w:jc w:val="center"/>
      </w:pPr>
      <w:r>
        <w:rPr>
          <w:b/>
        </w:rPr>
        <w:t>--- END ---</w:t>
      </w:r>
    </w:p>
    <w:sectPr>
      <w:pgNumType w:start="1"/>
      <w:footerReference xmlns:r="http://schemas.openxmlformats.org/officeDocument/2006/relationships" r:id="R61d51956beeb4a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c05623363843cb" /><Relationship Type="http://schemas.openxmlformats.org/officeDocument/2006/relationships/footer" Target="/word/footer1.xml" Id="R61d51956beeb4a9f" /></Relationships>
</file>