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6d2f0ff4884709" /></Relationships>
</file>

<file path=word/document.xml><?xml version="1.0" encoding="utf-8"?>
<w:document xmlns:w="http://schemas.openxmlformats.org/wordprocessingml/2006/main">
  <w:body>
    <w:p>
      <w:r>
        <w:t>H-2234.1</w:t>
      </w:r>
    </w:p>
    <w:p>
      <w:pPr>
        <w:jc w:val="center"/>
      </w:pPr>
      <w:r>
        <w:t>_______________________________________________</w:t>
      </w:r>
    </w:p>
    <w:p/>
    <w:p>
      <w:pPr>
        <w:jc w:val="center"/>
      </w:pPr>
      <w:r>
        <w:rPr>
          <w:b/>
        </w:rPr>
        <w:t>SECOND SUBSTITUTE HOUSE BILL 1513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Jinkins, Irwin, Goodman, Tharinger, Kilduff, Cody, Frame, Bergquist, Doglio, Reeves, and Leavitt; by request of Office of the Governor)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timely competency evaluations and restoration services to persons suffering from behavioral health disorders within the framework of the forensic mental health care system consistent with the requirements agreed to in the Trueblood settlement agreement; amending RCW 10.31.110, 10.77.086, and 10.77.088; adding new sections to chapter 10.77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has been a nationwide increase in the number of individuals with behavioral health disorders in the criminal justice system. The legislature also recognizes that reforms must be made to our own behavioral health systems and services to meet the increasing demands in our state, to provide timely competency evaluations and restoration services, and to comply with federal court orders issued in </w:t>
      </w:r>
      <w:r>
        <w:rPr>
          <w:i/>
        </w:rPr>
        <w:t xml:space="preserve">A.B., by and through Trueblood, et al., v. DSHS, et al.</w:t>
      </w:r>
      <w:r>
        <w:rPr/>
        <w:t xml:space="preserve">, No. 15-35462 ("Trueblood"). The legislature acknowledges that these reforms will require the support of a broad range of stakeholders, including local law enforcement, prosecuting attorneys, defense attorneys, community members, and health care providers. The legislature further acknowledges the significant efforts of the parties to the Trueblood litigation to establish a roadmap and framework within their settlement agreement for proposed systemic reforms to the forensic mental health care system. It is the intent of the legislature to enact appropriate reforms consistent with the goals agreed to in the Trueblood settlement agreement, to continue to engage with stakeholders and community partners to address the needs of this vulnerable population, and to ensure that the public safety needs of our communities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limitations described in this subsection, a court may appoint an impartial forensic navigator employed by or contracted with the department to assist individuals who have been referred for competency evaluation or restoration.</w:t>
      </w:r>
    </w:p>
    <w:p>
      <w:pPr>
        <w:spacing w:before="0" w:after="0" w:line="408" w:lineRule="exact"/>
        <w:ind w:left="0" w:right="0" w:firstLine="576"/>
        <w:jc w:val="left"/>
      </w:pPr>
      <w:r>
        <w:rPr/>
        <w:t xml:space="preserve">(2) A forensic navigator must assist the individual to navigate the legal process and to access available behavioral health resources. During pending criminal proceedings,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Unless otherwise directed by the court, the duties of the forensic navigator during a pending criminal proceeding include, but are not limited to, the following:</w:t>
      </w:r>
    </w:p>
    <w:p>
      <w:pPr>
        <w:spacing w:before="0" w:after="0" w:line="408" w:lineRule="exact"/>
        <w:ind w:left="0" w:right="0" w:firstLine="576"/>
        <w:jc w:val="left"/>
      </w:pPr>
      <w:r>
        <w:rPr/>
        <w:t xml:space="preserve">(a) To collect relevant information about the individual, including any relevant background, prior behavioral health history, prior records of competency evaluation and restoration treatment, the circumstances of the individual leading up to the current matter before the court, and services available to the individual that would support placement in outpatient restoration, diversion, or some combination of these;</w:t>
      </w:r>
    </w:p>
    <w:p>
      <w:pPr>
        <w:spacing w:before="0" w:after="0" w:line="408" w:lineRule="exact"/>
        <w:ind w:left="0" w:right="0" w:firstLine="576"/>
        <w:jc w:val="left"/>
      </w:pPr>
      <w:r>
        <w:rPr/>
        <w:t xml:space="preserve">(b) To present information to the court in order to assist the court in understanding the options available to the individual and determining whether placement in outpatient restoration, diversion, or some combination of these is appropriate for the individual;</w:t>
      </w:r>
    </w:p>
    <w:p>
      <w:pPr>
        <w:spacing w:before="0" w:after="0" w:line="408" w:lineRule="exact"/>
        <w:ind w:left="0" w:right="0" w:firstLine="576"/>
        <w:jc w:val="left"/>
      </w:pPr>
      <w:r>
        <w:rPr/>
        <w:t xml:space="preserve">(c) To assess the individual's housing status in order to determine whether residential supports are needed in order to engage in outpatient restoration or diversion programs, and to coordinate access to housing for these individuals if ordered to outpatient restoration;</w:t>
      </w:r>
    </w:p>
    <w:p>
      <w:pPr>
        <w:spacing w:before="0" w:after="0" w:line="408" w:lineRule="exact"/>
        <w:ind w:left="0" w:right="0" w:firstLine="576"/>
        <w:jc w:val="left"/>
      </w:pPr>
      <w:r>
        <w:rPr/>
        <w:t xml:space="preserve">(d) To facilitate a coordinated transition to outpatient restoration, diversion, and other community resources, or some combination of these; and</w:t>
      </w:r>
    </w:p>
    <w:p>
      <w:pPr>
        <w:spacing w:before="0" w:after="0" w:line="408" w:lineRule="exact"/>
        <w:ind w:left="0" w:right="0" w:firstLine="576"/>
        <w:jc w:val="left"/>
      </w:pPr>
      <w:r>
        <w:rPr/>
        <w:t xml:space="preserve">(e) To monitor all court orders for compliance and to bring to the court's attention any change in circumstances that may require a modification of the court's order.</w:t>
      </w:r>
    </w:p>
    <w:p>
      <w:pPr>
        <w:spacing w:before="0" w:after="0" w:line="408" w:lineRule="exact"/>
        <w:ind w:left="0" w:right="0" w:firstLine="576"/>
        <w:jc w:val="left"/>
      </w:pPr>
      <w:r>
        <w:rPr/>
        <w:t xml:space="preserve">(4) Forensic navigators may submit nonclinical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individual's connections to community resources, criminal history, and other relevant information necessary for the development of treatment and restoration options for an individual. Information that is protected by state or federal law, including health information, shall not be entered into the court record without the consent of the individual or the individual's defense attorney. Any information collected and shared with parties by the forensic navigator shall be used solely for the purposes of assessing an individual's appropriateness for outpatient restoration, diversion, or some combination of these.</w:t>
      </w:r>
    </w:p>
    <w:p>
      <w:pPr>
        <w:spacing w:before="0" w:after="0" w:line="408" w:lineRule="exact"/>
        <w:ind w:left="0" w:right="0" w:firstLine="576"/>
        <w:jc w:val="left"/>
      </w:pPr>
      <w:r>
        <w:rPr/>
        <w:t xml:space="preserve">(7) A forensic navigator shall not report or be examined as to any communication made by the individual to the forensic navigator, without the consent of the individual or the individual's attorney.</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2014 c 225 s 57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w:t>
      </w:r>
      <w:r>
        <w:t>((</w:t>
      </w:r>
      <w:r>
        <w:rPr>
          <w:strike/>
        </w:rPr>
        <w:t xml:space="preserve">nonfelony</w:t>
      </w:r>
      <w:r>
        <w:t>))</w:t>
      </w:r>
      <w:r>
        <w:rPr/>
        <w:t xml:space="preserve"> crime </w:t>
      </w:r>
      <w:r>
        <w:t>((</w:t>
      </w:r>
      <w:r>
        <w:rPr>
          <w:strike/>
        </w:rPr>
        <w:t xml:space="preserve">that is not a serious offense as identified in RCW 10.77.092</w:t>
      </w:r>
      <w:r>
        <w:t>))</w:t>
      </w:r>
      <w:r>
        <w:rPr>
          <w:u w:val="single"/>
        </w:rPr>
        <w:t xml:space="preserve">,</w:t>
      </w:r>
      <w:r>
        <w:rPr/>
        <w:t xml:space="preserve"> and the individual is known by history or consultation with the behavioral health organization</w:t>
      </w:r>
      <w:r>
        <w:rPr>
          <w:u w:val="single"/>
        </w:rPr>
        <w:t xml:space="preserve">, managed care organization, behavioral health administrative services organization, crisis hotline, or local crisis services providers</w:t>
      </w:r>
      <w:r>
        <w:rPr/>
        <w:t xml:space="preserve"> to suffer from a mental disorder, the arresting officer may:</w:t>
      </w:r>
    </w:p>
    <w:p>
      <w:pPr>
        <w:spacing w:before="0" w:after="0" w:line="408" w:lineRule="exact"/>
        <w:ind w:left="0" w:right="0" w:firstLine="576"/>
        <w:jc w:val="left"/>
      </w:pPr>
      <w:r>
        <w:rPr/>
        <w:t xml:space="preserve">(a) Take the individual to a crisis stabilization unit as defined in RCW 71.05.020</w:t>
      </w:r>
      <w:r>
        <w:t>((</w:t>
      </w:r>
      <w:r>
        <w:rPr>
          <w:strike/>
        </w:rPr>
        <w:t xml:space="preserve">(6)</w:t>
      </w:r>
      <w:r>
        <w:t>))</w:t>
      </w:r>
      <w:r>
        <w:rPr/>
        <w:t xml:space="preserve">. Individuals delivered to a crisis stabilization unit pursuant to this section may be held by the facility for a period of up to twelve hours. The individual must be examined by a mental health professional within three hours of arrival;</w:t>
      </w:r>
    </w:p>
    <w:p>
      <w:pPr>
        <w:spacing w:before="0" w:after="0" w:line="408" w:lineRule="exact"/>
        <w:ind w:left="0" w:right="0" w:firstLine="576"/>
        <w:jc w:val="left"/>
      </w:pPr>
      <w:r>
        <w:rPr/>
        <w:t xml:space="preserve">(b) Take the individual to a triage facility as defined in RCW 71.05.020. An individual delivered to a triage facility which has elected to operate as an involuntary facility may be held up to a period of twelve hours. The individual must be examined by a mental health professional within three hours of arrival;</w:t>
      </w:r>
    </w:p>
    <w:p>
      <w:pPr>
        <w:spacing w:before="0" w:after="0" w:line="408" w:lineRule="exact"/>
        <w:ind w:left="0" w:right="0" w:firstLine="576"/>
        <w:jc w:val="left"/>
      </w:pPr>
      <w:r>
        <w:rPr/>
        <w:t xml:space="preserve">(c) Refer the individual to a mental health professional for evaluation for initial detention and proceeding under chapter 71.05 RCW; or</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(2) If the individual is released to the community, the mental health provider shall </w:t>
      </w:r>
      <w:r>
        <w:rPr>
          <w:u w:val="single"/>
        </w:rPr>
        <w:t xml:space="preserve">make reasonable efforts to</w:t>
      </w:r>
      <w:r>
        <w:rPr/>
        <w:t xml:space="preserve"> inform the arresting officer of the </w:t>
      </w:r>
      <w:r>
        <w:rPr>
          <w:u w:val="single"/>
        </w:rPr>
        <w:t xml:space="preserve">planned</w:t>
      </w:r>
      <w:r>
        <w:rPr/>
        <w:t xml:space="preserve"> release </w:t>
      </w:r>
      <w:r>
        <w:t>((</w:t>
      </w:r>
      <w:r>
        <w:rPr>
          <w:strike/>
        </w:rPr>
        <w:t xml:space="preserve">within a reasonable period of time after the</w:t>
      </w:r>
      <w:r>
        <w:t>))</w:t>
      </w:r>
      <w:r>
        <w:rPr/>
        <w:t xml:space="preserve"> </w:t>
      </w:r>
      <w:r>
        <w:rPr>
          <w:u w:val="single"/>
        </w:rPr>
        <w:t xml:space="preserve">prior to</w:t>
      </w:r>
      <w:r>
        <w:rPr/>
        <w:t xml:space="preserve">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w:t>
      </w:r>
      <w:r>
        <w:t>((</w:t>
      </w:r>
      <w:r>
        <w:rPr>
          <w:strike/>
        </w:rPr>
        <w:t xml:space="preserve">shall</w:t>
      </w:r>
      <w:r>
        <w:t>))</w:t>
      </w:r>
      <w:r>
        <w:rPr/>
        <w:t xml:space="preserve"> </w:t>
      </w:r>
      <w:r>
        <w:rPr>
          <w:u w:val="single"/>
        </w:rPr>
        <w:t xml:space="preserve">must</w:t>
      </w:r>
      <w:r>
        <w:rPr/>
        <w:t xml:space="preserve"> be guided by </w:t>
      </w:r>
      <w:r>
        <w:t>((</w:t>
      </w:r>
      <w:r>
        <w:rPr>
          <w:strike/>
        </w:rPr>
        <w:t xml:space="preserve">standards</w:t>
      </w:r>
      <w:r>
        <w:t>))</w:t>
      </w:r>
      <w:r>
        <w:rPr/>
        <w:t xml:space="preserve"> </w:t>
      </w:r>
      <w:r>
        <w:rPr>
          <w:u w:val="single"/>
        </w:rPr>
        <w:t xml:space="preserve">local law enforcement diversion guidelines for behavioral health developed and</w:t>
      </w:r>
      <w:r>
        <w:rPr/>
        <w:t xml:space="preserve"> mutually agreed upon with the prosecuting authority</w:t>
      </w:r>
      <w:r>
        <w:t>((</w:t>
      </w:r>
      <w:r>
        <w:rPr>
          <w:strike/>
        </w:rPr>
        <w:t xml:space="preserve">, which</w:t>
      </w:r>
      <w:r>
        <w:t>))</w:t>
      </w:r>
      <w:r>
        <w:rPr/>
        <w:t xml:space="preserve"> </w:t>
      </w:r>
      <w:r>
        <w:rPr>
          <w:u w:val="single"/>
        </w:rPr>
        <w:t xml:space="preserve">with an opportunity for consultation and comment by the defense bar and disability community. These guidelines must</w:t>
      </w:r>
      <w:r>
        <w:rPr/>
        <w:t xml:space="preserve"> address, at a minimum, the length, seriousness, and recency of the known criminal history of the individual, the mental health history of the individual, </w:t>
      </w:r>
      <w:r>
        <w:t>((</w:t>
      </w:r>
      <w:r>
        <w:rPr>
          <w:strike/>
        </w:rPr>
        <w:t xml:space="preserve">where</w:t>
      </w:r>
      <w:r>
        <w:t>))</w:t>
      </w:r>
      <w:r>
        <w:rPr/>
        <w:t xml:space="preserve"> </w:t>
      </w:r>
      <w:r>
        <w:rPr>
          <w:u w:val="single"/>
        </w:rPr>
        <w:t xml:space="preserve">if</w:t>
      </w:r>
      <w:r>
        <w:rPr/>
        <w:t xml:space="preserve"> available, </w:t>
      </w:r>
      <w:r>
        <w:rPr>
          <w:u w:val="single"/>
        </w:rPr>
        <w:t xml:space="preserve">the opinions of a mental health professional, if available,</w:t>
      </w:r>
      <w:r>
        <w:rPr/>
        <w:t xml:space="preserve"> and the circumstances surrounding the commission of the alleged offense. </w:t>
      </w:r>
      <w:r>
        <w:rPr>
          <w:u w:val="single"/>
        </w:rPr>
        <w:t xml:space="preserve">The guidelines must include a process for clearing outstanding warrants or referring the individual for assistance in clearing outstanding warrants, if any, and issuing a new court date, if appropriate, without booking or incarcerating the individual or disqualifying him or her from referral to treatment under this section, and define the circumstances under which such action is permissible.</w:t>
      </w:r>
    </w:p>
    <w:p>
      <w:pPr>
        <w:spacing w:before="0" w:after="0" w:line="408" w:lineRule="exact"/>
        <w:ind w:left="0" w:right="0" w:firstLine="576"/>
        <w:jc w:val="left"/>
      </w:pPr>
      <w:r>
        <w:rPr/>
        <w:t xml:space="preserve">(4) Any agreement to participate in treatment shall not require individuals to stipulate to any of the alleged facts regarding the criminal activity as a prerequisite to participation in a mental health treatment alternative. The agreement is inadmissible in any criminal or civil proceeding. The agreement does not create immunity from prosecution for the alleged criminal activity.</w:t>
      </w:r>
    </w:p>
    <w:p>
      <w:pPr>
        <w:spacing w:before="0" w:after="0" w:line="408" w:lineRule="exact"/>
        <w:ind w:left="0" w:right="0" w:firstLine="576"/>
        <w:jc w:val="left"/>
      </w:pPr>
      <w:r>
        <w:rPr/>
        <w:t xml:space="preserve">(5) If an individual violates such agreement and the mental health treatment alternative is no longer appropriate:</w:t>
      </w:r>
    </w:p>
    <w:p>
      <w:pPr>
        <w:spacing w:before="0" w:after="0" w:line="408" w:lineRule="exact"/>
        <w:ind w:left="0" w:right="0" w:firstLine="576"/>
        <w:jc w:val="left"/>
      </w:pPr>
      <w:r>
        <w:rPr/>
        <w:t xml:space="preserve">(a) The mental health provider shall inform the referring law enforcement agency of the violation; and</w:t>
      </w:r>
    </w:p>
    <w:p>
      <w:pPr>
        <w:spacing w:before="0" w:after="0" w:line="408" w:lineRule="exact"/>
        <w:ind w:left="0" w:right="0" w:firstLine="576"/>
        <w:jc w:val="left"/>
      </w:pPr>
      <w:r>
        <w:rPr/>
        <w:t xml:space="preserve">(b) The original charges may be filed or referred to the prosecutor, as appropriate, and the matter may proceed accordingly.</w:t>
      </w:r>
    </w:p>
    <w:p>
      <w:pPr>
        <w:spacing w:before="0" w:after="0" w:line="408" w:lineRule="exact"/>
        <w:ind w:left="0" w:right="0" w:firstLine="576"/>
        <w:jc w:val="left"/>
      </w:pPr>
      <w:r>
        <w:rPr/>
        <w:t xml:space="preserve">(6) The police officer is immune from liability for any good faith conduct under this section.</w:t>
      </w:r>
    </w:p>
    <w:p>
      <w:pPr>
        <w:spacing w:before="0" w:after="0" w:line="408" w:lineRule="exact"/>
        <w:ind w:left="0" w:right="0" w:firstLine="576"/>
        <w:jc w:val="left"/>
      </w:pPr>
      <w:r>
        <w:rPr>
          <w:u w:val="single"/>
        </w:rPr>
        <w:t xml:space="preserve">(7) The Washington association of sheriffs and police chiefs shall collect and maintain a file of written local law enforcement diversion guidelines for behavioral health developed pursuant to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2015 1st sp.s. c 7 s 5 are each amended to read as follows:</w:t>
      </w:r>
    </w:p>
    <w:p>
      <w:pPr>
        <w:spacing w:before="0" w:after="0" w:line="408" w:lineRule="exact"/>
        <w:ind w:left="0" w:right="0" w:firstLine="576"/>
        <w:jc w:val="left"/>
      </w:pPr>
      <w:r>
        <w:rPr/>
        <w:t xml:space="preserve">(1)(a)</w:t>
      </w:r>
      <w:r>
        <w:t>((</w:t>
      </w:r>
      <w:r>
        <w:rPr>
          <w:strike/>
        </w:rPr>
        <w:t xml:space="preserve">(i)</w:t>
      </w:r>
      <w:r>
        <w:t>))</w:t>
      </w:r>
      <w:r>
        <w:rPr/>
        <w:t xml:space="preserve"> If the defendant is charged with a felony and determined to be incompetent, until he or she has regained the competency necessary to understand the proceedings against him or her and assist in his or her own defense, but in any event for a period of no longer than ninety days, the court: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Shall commit the defendant to the custody of the secretary who shall place such defendant in an appropriate facility of the department for </w:t>
      </w:r>
      <w:r>
        <w:t>((</w:t>
      </w:r>
      <w:r>
        <w:rPr>
          <w:strike/>
        </w:rPr>
        <w:t xml:space="preserve">evaluation and treatment</w:t>
      </w:r>
      <w:r>
        <w:t>))</w:t>
      </w:r>
      <w:r>
        <w:rPr/>
        <w:t xml:space="preserve"> </w:t>
      </w:r>
      <w:r>
        <w:rPr>
          <w:u w:val="single"/>
        </w:rPr>
        <w:t xml:space="preserve">a period of up to ninety days for inpatient competency restoration, which includes only the time the defendant is actually at the facility and is in addition to reasonable time for transport to or from the facility</w:t>
      </w:r>
      <w:r>
        <w:rPr/>
        <w:t xml:space="preserv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May alternatively order the defendant to undergo </w:t>
      </w:r>
      <w:r>
        <w:t>((</w:t>
      </w:r>
      <w:r>
        <w:rPr>
          <w:strike/>
        </w:rPr>
        <w:t xml:space="preserve">evaluation and treatment</w:t>
      </w:r>
      <w:r>
        <w:t>))</w:t>
      </w:r>
      <w:r>
        <w:rPr/>
        <w:t xml:space="preserve"> </w:t>
      </w:r>
      <w:r>
        <w:rPr>
          <w:u w:val="single"/>
        </w:rPr>
        <w:t xml:space="preserve">outpatient competency restoration</w:t>
      </w:r>
      <w:r>
        <w:rPr/>
        <w:t xml:space="preserve">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w:t>
      </w:r>
      <w:r>
        <w:t>((</w:t>
      </w:r>
      <w:r>
        <w:rPr>
          <w:strike/>
        </w:rPr>
        <w:t xml:space="preserve">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p>
    <w:p>
      <w:pPr>
        <w:spacing w:before="0" w:after="0" w:line="408" w:lineRule="exact"/>
        <w:ind w:left="0" w:right="0" w:firstLine="576"/>
        <w:jc w:val="left"/>
      </w:pPr>
      <w:r>
        <w:rPr>
          <w:strike/>
        </w:rPr>
        <w:t xml:space="preserve">(ii) The ninety day period for evaluation and treatment under this subsection (1) includes only the time the defendant is actually at the facility and is in addition to reasonable time for transport to or from the facility.</w:t>
      </w:r>
      <w:r>
        <w:t>))</w:t>
      </w:r>
    </w:p>
    <w:p>
      <w:pPr>
        <w:spacing w:before="0" w:after="0" w:line="408" w:lineRule="exact"/>
        <w:ind w:left="0" w:right="0" w:firstLine="576"/>
        <w:jc w:val="left"/>
      </w:pPr>
      <w:r>
        <w:rPr>
          <w:u w:val="single"/>
        </w:rPr>
        <w:t xml:space="preserve">(A) To be eligible for an order for outpatient competency restoration, a defendant must be:</w:t>
      </w:r>
    </w:p>
    <w:p>
      <w:pPr>
        <w:spacing w:before="0" w:after="0" w:line="408" w:lineRule="exact"/>
        <w:ind w:left="0" w:right="0" w:firstLine="576"/>
        <w:jc w:val="left"/>
      </w:pPr>
      <w:r>
        <w:rPr>
          <w:u w:val="single"/>
        </w:rPr>
        <w:t xml:space="preserve">(I) Adherent to medications or willing to receive prescribed intravenous medication;</w:t>
      </w:r>
    </w:p>
    <w:p>
      <w:pPr>
        <w:spacing w:before="0" w:after="0" w:line="408" w:lineRule="exact"/>
        <w:ind w:left="0" w:right="0" w:firstLine="576"/>
        <w:jc w:val="left"/>
      </w:pPr>
      <w:r>
        <w:rPr>
          <w:u w:val="single"/>
        </w:rPr>
        <w:t xml:space="preserve">(II) Abstinent from alcohol or unprescribed drugs; and</w:t>
      </w:r>
    </w:p>
    <w:p>
      <w:pPr>
        <w:spacing w:before="0" w:after="0" w:line="408" w:lineRule="exact"/>
        <w:ind w:left="0" w:right="0" w:firstLine="576"/>
        <w:jc w:val="left"/>
      </w:pPr>
      <w:r>
        <w:rPr>
          <w:u w:val="single"/>
        </w:rPr>
        <w:t xml:space="preserve">(III) Clinically stable.</w:t>
      </w:r>
    </w:p>
    <w:p>
      <w:pPr>
        <w:spacing w:before="0" w:after="0" w:line="408" w:lineRule="exact"/>
        <w:ind w:left="0" w:right="0" w:firstLine="576"/>
        <w:jc w:val="left"/>
      </w:pPr>
      <w:r>
        <w:rPr>
          <w:u w:val="single"/>
        </w:rPr>
        <w:t xml:space="preserve">(B)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must establish conditions of participation in the outpatient competency restoration program which must include the defendant being subject to medication monitoring and daily urinalysis. The outpatient competency restoration program shall monitor the defendant during the defendant's placement in the program and report any noncompliance or significant changes with respect to the defendant to the department and, if applicable, the forensic navigator. The period for outpatient competency restoration must be for up to sixty days, notwithstanding (b) of this subsection.</w:t>
      </w:r>
    </w:p>
    <w:p>
      <w:pPr>
        <w:spacing w:before="0" w:after="0" w:line="408" w:lineRule="exact"/>
        <w:ind w:left="0" w:right="0" w:firstLine="576"/>
        <w:jc w:val="left"/>
      </w:pPr>
      <w:r>
        <w:rPr>
          <w:u w:val="single"/>
        </w:rPr>
        <w:t xml:space="preserve">(C) If the defendant fails to comply with the terms and conditions of his or her conditional release or is in need of additional care and treatment such that outpatient restoration treatment is no longer appropriate, the department shall remove the defendant from the outpatient restoration program and place the defendant in an appropriate facility of the department for inpatient competency restoration. The department shall notify the court and parties of the change in placement before the close of the next judicial day. The court shall schedule a hearing within five days to determine whether the court should reinstate or modify the defendant's conditional release or order the defendant into inpatient competency restoration. The standard of proof at the hearing shall be a preponderance of the evidence. To order a defendant to inpatient competency restoration, the court shall consider:</w:t>
      </w:r>
    </w:p>
    <w:p>
      <w:pPr>
        <w:spacing w:before="0" w:after="0" w:line="408" w:lineRule="exact"/>
        <w:ind w:left="0" w:right="0" w:firstLine="576"/>
        <w:jc w:val="left"/>
      </w:pPr>
      <w:r>
        <w:rPr>
          <w:u w:val="single"/>
        </w:rPr>
        <w:t xml:space="preserve">(I) Information and opinions from an evaluator designated by the department as to whether the defendant is likely to regain competency in an outpatient competency restoration setting; and</w:t>
      </w:r>
    </w:p>
    <w:p>
      <w:pPr>
        <w:spacing w:before="0" w:after="0" w:line="408" w:lineRule="exact"/>
        <w:ind w:left="0" w:right="0" w:firstLine="576"/>
        <w:jc w:val="left"/>
      </w:pPr>
      <w:r>
        <w:rPr>
          <w:u w:val="single"/>
        </w:rPr>
        <w:t xml:space="preserve">(II) Information provided by the outpatient restoration treatment provider and forensic navigator as to whether the defendant is able to meaningfully complete or participate in an outpatient competency restoration program.</w:t>
      </w:r>
    </w:p>
    <w:p>
      <w:pPr>
        <w:spacing w:before="0" w:after="0" w:line="408" w:lineRule="exact"/>
        <w:ind w:left="0" w:right="0" w:firstLine="576"/>
        <w:jc w:val="left"/>
      </w:pPr>
      <w:r>
        <w:rPr>
          <w:u w:val="single"/>
        </w:rPr>
        <w:t xml:space="preserve">(D) If after a hearing, the court finds that outpatient competency restoration treatment is no longer an appropriate placement for the defendant, the court shall commit the defendant to the custody of the secretary who shall place such defendant in an appropriate facility of the department for inpatient competency restoration treatment for no longer than the remaining time period authorized in the original court order, in addition to reasonable time for transport to or from the facility.</w:t>
      </w:r>
    </w:p>
    <w:p>
      <w:pPr>
        <w:spacing w:before="0" w:after="0" w:line="408" w:lineRule="exact"/>
        <w:ind w:left="0" w:right="0" w:firstLine="576"/>
        <w:jc w:val="left"/>
      </w:pPr>
      <w:r>
        <w:rPr>
          <w:u w:val="single"/>
        </w:rPr>
        <w:t xml:space="preserve">(E) If after a hearing, the court finds that outpatient competency restoration treatment continues to be an appropriate placement for the defendant, the defendant shall be released to continue his or her outpatient competency restoration treatment for no longer than the remaining time period authorized in the original court order, in addition to reasonable time for transport to or from the facility.</w:t>
      </w:r>
    </w:p>
    <w:p>
      <w:pPr>
        <w:spacing w:before="0" w:after="0" w:line="408" w:lineRule="exact"/>
        <w:ind w:left="0" w:right="0" w:firstLine="576"/>
        <w:jc w:val="left"/>
      </w:pPr>
      <w:r>
        <w:rPr>
          <w:u w:val="single"/>
        </w:rPr>
        <w:t xml:space="preserve">(F) Nothing in this section shall prevent an outpatient competency restoration treatment provider from referring a defendant to a mental health professional for evaluation and treatment for initial detention proceedings under chapter 71.05 RCW. The provider shall immediately notify the parties if the defendant is detained under chapter 71.05 RCW.</w:t>
      </w:r>
    </w:p>
    <w:p>
      <w:pPr>
        <w:spacing w:before="0" w:after="0" w:line="408" w:lineRule="exact"/>
        <w:ind w:left="0" w:right="0" w:firstLine="576"/>
        <w:jc w:val="left"/>
      </w:pPr>
      <w:r>
        <w:rPr>
          <w:u w:val="single"/>
        </w:rPr>
        <w:t xml:space="preserve">(G) The court may not issue an order for outpatient competency restoration unless the department certifies that there is an available appropriate outpatient competency restoration program that has adequate space for the person at the time the order is issued, or the court has identified an appropriate professional person who will provide guidance and control for outpatient restoration.</w:t>
      </w:r>
    </w:p>
    <w:p>
      <w:pPr>
        <w:spacing w:before="0" w:after="0" w:line="408" w:lineRule="exact"/>
        <w:ind w:left="0" w:right="0" w:firstLine="576"/>
        <w:jc w:val="left"/>
      </w:pPr>
      <w:r>
        <w:rPr/>
        <w:t xml:space="preserve">(b) </w:t>
      </w:r>
      <w:r>
        <w:rPr>
          <w:u w:val="single"/>
        </w:rPr>
        <w:t xml:space="preserve">Except as provided in (a)(ii)(B) of this subsection, f</w:t>
      </w:r>
      <w:r>
        <w:rPr/>
        <w:t xml:space="preserve">or a defendant whose highest charge is a class C felony, or a class B felony that is not classified as violent under RCW 9.94A.030, the maximum time allowed for the initial period of commitment for competency restoration is forty-five days. 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(c) If the court determines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or if the court or jury at any stage finds that the defendant is incompetent and the court determines that the defendant is unlikely to regain competency,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2016 sp.s. c 29 s 411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u w:val="single"/>
        </w:rPr>
        <w:t xml:space="preserve">(a) Shall dismiss proceedings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The court must give notice to all parties at least twenty-four hours before the dismissal of any proceeding under this subsection, and provide an opportunity for a hearing within five days on whether to dismiss the proceedings. The prosecuting attorney must serve upon the defendant's attorney any evidence within twenty-four hours of requesting a hearing.</w:t>
      </w:r>
    </w:p>
    <w:p>
      <w:pPr>
        <w:spacing w:before="0" w:after="0" w:line="408" w:lineRule="exact"/>
        <w:ind w:left="0" w:right="0" w:firstLine="576"/>
        <w:jc w:val="left"/>
      </w:pPr>
      <w:r>
        <w:rPr>
          <w:u w:val="single"/>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and any history that suggests whether or not competency restoration treatment is likely to be successful. If the prosecuting attorney proves by a preponderance of the evidence that there is a compelling state interest in ordering restoration, then the court shall order competency restoration in accordance with subsection (2)(a) of this section.</w:t>
      </w:r>
    </w:p>
    <w:p>
      <w:pPr>
        <w:spacing w:before="0" w:after="0" w:line="408" w:lineRule="exact"/>
        <w:ind w:left="0" w:right="0" w:firstLine="576"/>
        <w:jc w:val="left"/>
      </w:pPr>
      <w:r>
        <w:rPr>
          <w:u w:val="single"/>
        </w:rPr>
        <w:t xml:space="preserve">(2)(a) If a court finds pursuant to subsection (1)(b) of this section that there is a compelling state interest in pursuing competency restoration treatment, then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w:t>
      </w:r>
      <w:r>
        <w:t>((</w:t>
      </w:r>
      <w:r>
        <w:rPr>
          <w:strike/>
        </w:rPr>
        <w:t xml:space="preserve">evaluation and treatment</w:t>
      </w:r>
      <w:r>
        <w:t>))</w:t>
      </w:r>
      <w:r>
        <w:rPr/>
        <w:t xml:space="preserve"> </w:t>
      </w:r>
      <w:r>
        <w:rPr>
          <w:u w:val="single"/>
        </w:rPr>
        <w:t xml:space="preserve">inpatient competency restoration</w:t>
      </w:r>
      <w:r>
        <w:rPr/>
        <w:t xml:space="preserve">; </w:t>
      </w:r>
      <w:r>
        <w:rPr>
          <w:u w:val="single"/>
        </w:rPr>
        <w:t xml:space="preserve">or</w:t>
      </w:r>
    </w:p>
    <w:p>
      <w:pPr>
        <w:spacing w:before="0" w:after="0" w:line="408" w:lineRule="exact"/>
        <w:ind w:left="0" w:right="0" w:firstLine="576"/>
        <w:jc w:val="left"/>
      </w:pPr>
      <w:r>
        <w:rPr/>
        <w:t xml:space="preserve">(ii) May alternatively order the defendant to undergo </w:t>
      </w:r>
      <w:r>
        <w:t>((</w:t>
      </w:r>
      <w:r>
        <w:rPr>
          <w:strike/>
        </w:rPr>
        <w:t xml:space="preserve">evaluation and treatment</w:t>
      </w:r>
      <w:r>
        <w:t>))</w:t>
      </w:r>
      <w:r>
        <w:rPr/>
        <w:t xml:space="preserve"> </w:t>
      </w:r>
      <w:r>
        <w:rPr>
          <w:u w:val="single"/>
        </w:rPr>
        <w:t xml:space="preserve">outpatient competency restoration</w:t>
      </w:r>
      <w:r>
        <w:rPr/>
        <w:t xml:space="preserve">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w:t>
      </w:r>
      <w:r>
        <w:t>((</w:t>
      </w:r>
      <w:r>
        <w:rPr>
          <w:strike/>
        </w:rPr>
        <w:t xml:space="preserve">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t>))</w:t>
      </w:r>
    </w:p>
    <w:p>
      <w:pPr>
        <w:spacing w:before="0" w:after="0" w:line="408" w:lineRule="exact"/>
        <w:ind w:left="0" w:right="0" w:firstLine="576"/>
        <w:jc w:val="left"/>
      </w:pPr>
      <w:r>
        <w:rPr>
          <w:u w:val="single"/>
        </w:rPr>
        <w:t xml:space="preserve">(A) To be eligible for an order for outpatient competency restoration, a defendant must be:</w:t>
      </w:r>
    </w:p>
    <w:p>
      <w:pPr>
        <w:spacing w:before="0" w:after="0" w:line="408" w:lineRule="exact"/>
        <w:ind w:left="0" w:right="0" w:firstLine="576"/>
        <w:jc w:val="left"/>
      </w:pPr>
      <w:r>
        <w:rPr>
          <w:u w:val="single"/>
        </w:rPr>
        <w:t xml:space="preserve">(I) Adherent to medications or willing to receive prescribed intravenous medication;</w:t>
      </w:r>
    </w:p>
    <w:p>
      <w:pPr>
        <w:spacing w:before="0" w:after="0" w:line="408" w:lineRule="exact"/>
        <w:ind w:left="0" w:right="0" w:firstLine="576"/>
        <w:jc w:val="left"/>
      </w:pPr>
      <w:r>
        <w:rPr>
          <w:u w:val="single"/>
        </w:rPr>
        <w:t xml:space="preserve">(II) Abstinent from alcohol or unprescribed drugs; and</w:t>
      </w:r>
    </w:p>
    <w:p>
      <w:pPr>
        <w:spacing w:before="0" w:after="0" w:line="408" w:lineRule="exact"/>
        <w:ind w:left="0" w:right="0" w:firstLine="576"/>
        <w:jc w:val="left"/>
      </w:pPr>
      <w:r>
        <w:rPr>
          <w:u w:val="single"/>
        </w:rPr>
        <w:t xml:space="preserve">(III) Clinically stable.</w:t>
      </w:r>
    </w:p>
    <w:p>
      <w:pPr>
        <w:spacing w:before="0" w:after="0" w:line="408" w:lineRule="exact"/>
        <w:ind w:left="0" w:right="0" w:firstLine="576"/>
        <w:jc w:val="left"/>
      </w:pPr>
      <w:r>
        <w:rPr>
          <w:u w:val="single"/>
        </w:rPr>
        <w:t xml:space="preserve">(B)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must establish conditions of participation in the outpatient competency restoration program which must include the defendant being subject to medication monitoring and daily urinalysis. The outpatient competency restoration program shall monitor the defendant during the defendant's placement in the program and report any noncompliance or significant changes with respect to the defendant to the department and, if applicable, the forensic navigator. The period for outpatient competency restoration must be for up to sixty days, notwithstanding (b) of this subsection.</w:t>
      </w:r>
    </w:p>
    <w:p>
      <w:pPr>
        <w:spacing w:before="0" w:after="0" w:line="408" w:lineRule="exact"/>
        <w:ind w:left="0" w:right="0" w:firstLine="576"/>
        <w:jc w:val="left"/>
      </w:pPr>
      <w:r>
        <w:rPr>
          <w:u w:val="single"/>
        </w:rPr>
        <w:t xml:space="preserve">(C) If the defendant fails to comply with the terms and conditions of his or her conditional release or is in need of additional care and treatment such that outpatient restoration treatment is no longer appropriate, the department shall remove the defendant from the outpatient restoration program and place the defendant in an appropriate facility of the department for inpatient competency restoration. The department shall notify the court and parties of the change in placement before the close of the next judicial day. The court shall schedule a hearing within five days to determine whether the court should reinstate or modify the defendant's conditional release or order the defendant into inpatient competency restoration. The standard of proof at the hearing shall be a preponderance of the evidence. To order a defendant to inpatient competency restoration, the court shall consider:</w:t>
      </w:r>
    </w:p>
    <w:p>
      <w:pPr>
        <w:spacing w:before="0" w:after="0" w:line="408" w:lineRule="exact"/>
        <w:ind w:left="0" w:right="0" w:firstLine="576"/>
        <w:jc w:val="left"/>
      </w:pPr>
      <w:r>
        <w:rPr>
          <w:u w:val="single"/>
        </w:rPr>
        <w:t xml:space="preserve">(I) Information and opinions from an evaluator designated by the department as to whether the defendant is likely to regain competency in an outpatient competency restoration setting; and</w:t>
      </w:r>
    </w:p>
    <w:p>
      <w:pPr>
        <w:spacing w:before="0" w:after="0" w:line="408" w:lineRule="exact"/>
        <w:ind w:left="0" w:right="0" w:firstLine="576"/>
        <w:jc w:val="left"/>
      </w:pPr>
      <w:r>
        <w:rPr>
          <w:u w:val="single"/>
        </w:rPr>
        <w:t xml:space="preserve">(II) Information provided by the outpatient restoration treatment provider and forensic navigator as to whether the defendant is able to meaningfully complete or participate in an outpatient competency restoration program.</w:t>
      </w:r>
    </w:p>
    <w:p>
      <w:pPr>
        <w:spacing w:before="0" w:after="0" w:line="408" w:lineRule="exact"/>
        <w:ind w:left="0" w:right="0" w:firstLine="576"/>
        <w:jc w:val="left"/>
      </w:pPr>
      <w:r>
        <w:rPr>
          <w:u w:val="single"/>
        </w:rPr>
        <w:t xml:space="preserve">(D) If after a hearing, the court finds that outpatient competency restoration treatment is no longer an appropriate placement for the defendant, the court shall commit the defendant to the custody of the secretary who shall place such defendant in an appropriate facility of the department for inpatient competency restoration treatment. The inpatient competency restoration period following a change in placement under this subsection must be the same length as if the defendant had been initially placed into inpatient competency restoration and any time periods spent in outpatient competency restoration must be disregarded.</w:t>
      </w:r>
    </w:p>
    <w:p>
      <w:pPr>
        <w:spacing w:before="0" w:after="0" w:line="408" w:lineRule="exact"/>
        <w:ind w:left="0" w:right="0" w:firstLine="576"/>
        <w:jc w:val="left"/>
      </w:pPr>
      <w:r>
        <w:rPr>
          <w:u w:val="single"/>
        </w:rPr>
        <w:t xml:space="preserve">(E) If after a hearing, the court finds that outpatient competency restoration treatment continues to be an appropriate placement for the defendant, the defendant shall be released to continue his or her outpatient competency restoration treatment for no longer than the remaining time period authorized in the original court order, in addition to reasonable time for transport to or from the facility.</w:t>
      </w:r>
    </w:p>
    <w:p>
      <w:pPr>
        <w:spacing w:before="0" w:after="0" w:line="408" w:lineRule="exact"/>
        <w:ind w:left="0" w:right="0" w:firstLine="576"/>
        <w:jc w:val="left"/>
      </w:pPr>
      <w:r>
        <w:rPr>
          <w:u w:val="single"/>
        </w:rPr>
        <w:t xml:space="preserve">(F) Nothing in this section shall prevent an outpatient competency restoration treatment provider from referring a defendant to a mental health professional for evaluation and treatment for initial detention proceedings under chapter 71.05 RCW. The provider shall immediately notify the parties if the defendant is detained under chapter 71.05 RCW.</w:t>
      </w:r>
    </w:p>
    <w:p>
      <w:pPr>
        <w:spacing w:before="0" w:after="0" w:line="408" w:lineRule="exact"/>
        <w:ind w:left="0" w:right="0" w:firstLine="576"/>
        <w:jc w:val="left"/>
      </w:pPr>
      <w:r>
        <w:rPr>
          <w:u w:val="single"/>
        </w:rPr>
        <w:t xml:space="preserve">(G) The court may not issue an order for outpatient competency restoration unless the department certifies that there is an available appropriate outpatient competency restoration program that has adequate space for the person at the time the order is issued, or the court has identified an appropriate professional person who will provide guidance and control for outpatient restoration.</w:t>
      </w:r>
    </w:p>
    <w:p>
      <w:pPr>
        <w:spacing w:before="0" w:after="0" w:line="408" w:lineRule="exact"/>
        <w:ind w:left="0" w:right="0" w:firstLine="576"/>
        <w:jc w:val="left"/>
      </w:pPr>
      <w:r>
        <w:rPr>
          <w:u w:val="single"/>
        </w:rPr>
        <w:t xml:space="preserve">(b) Except as provided in (a)(ii)(B) of this subsection, t</w:t>
      </w:r>
      <w:r>
        <w:rPr/>
        <w:t xml:space="preserve">he placement under (a)(i) </w:t>
      </w:r>
      <w:r>
        <w:t>((</w:t>
      </w:r>
      <w:r>
        <w:rPr>
          <w:strike/>
        </w:rPr>
        <w:t xml:space="preserve">and (ii)</w:t>
      </w:r>
      <w:r>
        <w:t>))</w:t>
      </w:r>
      <w:r>
        <w:rPr/>
        <w:t xml:space="preserve"> of this subsection shall not exceed </w:t>
      </w:r>
      <w:r>
        <w:t>((</w:t>
      </w:r>
      <w:r>
        <w:rPr>
          <w:strike/>
        </w:rPr>
        <w:t xml:space="preserve">fourteen</w:t>
      </w:r>
      <w:r>
        <w:t>))</w:t>
      </w:r>
      <w:r>
        <w:rPr/>
        <w:t xml:space="preserve"> </w:t>
      </w:r>
      <w:r>
        <w:rPr>
          <w:u w:val="single"/>
        </w:rPr>
        <w:t xml:space="preserve">twenty-nine</w:t>
      </w:r>
      <w:r>
        <w:rPr/>
        <w:t xml:space="preserve"> days </w:t>
      </w:r>
      <w:r>
        <w:t>((</w:t>
      </w:r>
      <w:r>
        <w:rPr>
          <w:strike/>
        </w:rPr>
        <w:t xml:space="preserve">in addition to any unused time of the evaluation under RCW 10.77.060. The court shall compute this total period and include its computation in the order. The fourteen-day period plus any unused time of the evaluation under RCW 10.77.060 shall</w:t>
      </w:r>
      <w:r>
        <w:t>))</w:t>
      </w:r>
      <w:r>
        <w:rPr>
          <w:u w:val="single"/>
        </w:rPr>
        <w:t xml:space="preserve">. This period must</w:t>
      </w:r>
      <w:r>
        <w:rPr/>
        <w:t xml:space="preserve"> be considered to include only the time the defendant is actually at the facility and shall be in addition to reasonable time for transport to or from the facility</w:t>
      </w:r>
      <w:r>
        <w:t>((</w:t>
      </w:r>
      <w:r>
        <w:rPr>
          <w:strike/>
        </w:rPr>
        <w:t xml:space="preserve">;</w:t>
      </w:r>
    </w:p>
    <w:p>
      <w:pPr>
        <w:spacing w:before="0" w:after="0" w:line="408" w:lineRule="exact"/>
        <w:ind w:left="0" w:right="0" w:firstLine="576"/>
        <w:jc w:val="left"/>
      </w:pPr>
      <w:r>
        <w:rPr>
          <w:strike/>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strike/>
        </w:rPr>
        <w:t xml:space="preserve">(iv) May order any combination of this subsection</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w:t>
      </w:r>
      <w:r>
        <w:t>((</w:t>
      </w:r>
      <w:r>
        <w:rPr>
          <w:strike/>
        </w:rPr>
        <w:t xml:space="preserve">(c)</w:t>
      </w:r>
      <w:r>
        <w:t>))</w:t>
      </w:r>
      <w:r>
        <w:rPr/>
        <w:t xml:space="preserve"> </w:t>
      </w:r>
      <w:r>
        <w:rPr>
          <w:u w:val="single"/>
        </w:rPr>
        <w:t xml:space="preserve">(d)</w:t>
      </w:r>
      <w:r>
        <w:rPr/>
        <w:t xml:space="preserve"> of this subsection.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(i)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crisis responder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department must collaborate with the health care authority to ensure that intensive services consistent with section 2(3) of this act are available for individuals involved with the criminal justice system in every county or region in which a forensic navigator is contracted or employed to provide services, on a timeline consistent with the phased implementation of the settlement agreement in </w:t>
      </w:r>
      <w:r>
        <w:rPr>
          <w:i/>
        </w:rPr>
        <w:t xml:space="preserve">A.B., by and through Trueblood, et al., v. DSHS, et al.</w:t>
      </w:r>
      <w:r>
        <w:rPr/>
        <w:t xml:space="preserve">, No. 15-35462 ("Trueblood").</w:t>
      </w:r>
    </w:p>
    <w:p/>
    <w:p>
      <w:pPr>
        <w:jc w:val="center"/>
      </w:pPr>
      <w:r>
        <w:rPr>
          <w:b/>
        </w:rPr>
        <w:t>--- END ---</w:t>
      </w:r>
    </w:p>
    <w:sectPr>
      <w:pgNumType w:start="1"/>
      <w:footerReference xmlns:r="http://schemas.openxmlformats.org/officeDocument/2006/relationships" r:id="Rc3fa9846f2c749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f040dd80984431" /><Relationship Type="http://schemas.openxmlformats.org/officeDocument/2006/relationships/footer" Target="/word/footer1.xml" Id="Rc3fa9846f2c74989" /></Relationships>
</file>