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7f6059721f4cd1" /></Relationships>
</file>

<file path=word/document.xml><?xml version="1.0" encoding="utf-8"?>
<w:document xmlns:w="http://schemas.openxmlformats.org/wordprocessingml/2006/main">
  <w:body>
    <w:p>
      <w:r>
        <w:t>H-0783.2</w:t>
      </w:r>
    </w:p>
    <w:p>
      <w:pPr>
        <w:jc w:val="center"/>
      </w:pPr>
      <w:r>
        <w:t>_______________________________________________</w:t>
      </w:r>
    </w:p>
    <w:p/>
    <w:p>
      <w:pPr>
        <w:jc w:val="center"/>
      </w:pPr>
      <w:r>
        <w:rPr>
          <w:b/>
        </w:rPr>
        <w:t>HOUSE BILL 1495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Goodman, Klippert, Appleton, Ormsby, and Jinkins</w:t>
      </w:r>
    </w:p>
    <w:p/>
    <w:p>
      <w:r>
        <w:rPr>
          <w:t xml:space="preserve">Read first time 01/23/19.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joint legislative task force on criminal sentencing;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criminal sentencing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w:t>
      </w:r>
    </w:p>
    <w:p>
      <w:pPr>
        <w:spacing w:before="0" w:after="0" w:line="408" w:lineRule="exact"/>
        <w:ind w:left="0" w:right="0" w:firstLine="576"/>
        <w:jc w:val="left"/>
      </w:pPr>
      <w:r>
        <w:rPr/>
        <w:t xml:space="preserve">(i) Caseload forecast council;</w:t>
      </w:r>
    </w:p>
    <w:p>
      <w:pPr>
        <w:spacing w:before="0" w:after="0" w:line="408" w:lineRule="exact"/>
        <w:ind w:left="0" w:right="0" w:firstLine="576"/>
        <w:jc w:val="left"/>
      </w:pPr>
      <w:r>
        <w:rPr/>
        <w:t xml:space="preserve">(ii) Department of corrections;</w:t>
      </w:r>
    </w:p>
    <w:p>
      <w:pPr>
        <w:spacing w:before="0" w:after="0" w:line="408" w:lineRule="exact"/>
        <w:ind w:left="0" w:right="0" w:firstLine="576"/>
        <w:jc w:val="left"/>
      </w:pPr>
      <w:r>
        <w:rPr/>
        <w:t xml:space="preserve">(iii) Sentencing guidelines commission;</w:t>
      </w:r>
    </w:p>
    <w:p>
      <w:pPr>
        <w:spacing w:before="0" w:after="0" w:line="408" w:lineRule="exact"/>
        <w:ind w:left="0" w:right="0" w:firstLine="576"/>
        <w:jc w:val="left"/>
      </w:pPr>
      <w:r>
        <w:rPr/>
        <w:t xml:space="preserve">(iv) Statewide family council administered by the department of corrections;</w:t>
      </w:r>
    </w:p>
    <w:p>
      <w:pPr>
        <w:spacing w:before="0" w:after="0" w:line="408" w:lineRule="exact"/>
        <w:ind w:left="0" w:right="0" w:firstLine="576"/>
        <w:jc w:val="left"/>
      </w:pPr>
      <w:r>
        <w:rPr/>
        <w:t xml:space="preserve">(v) Statewide reentry council;</w:t>
      </w:r>
    </w:p>
    <w:p>
      <w:pPr>
        <w:spacing w:before="0" w:after="0" w:line="408" w:lineRule="exact"/>
        <w:ind w:left="0" w:right="0" w:firstLine="576"/>
        <w:jc w:val="left"/>
      </w:pPr>
      <w:r>
        <w:rPr/>
        <w:t xml:space="preserve">(vi) Superior court judges' association;</w:t>
      </w:r>
    </w:p>
    <w:p>
      <w:pPr>
        <w:spacing w:before="0" w:after="0" w:line="408" w:lineRule="exact"/>
        <w:ind w:left="0" w:right="0" w:firstLine="576"/>
        <w:jc w:val="left"/>
      </w:pPr>
      <w:r>
        <w:rPr/>
        <w:t xml:space="preserve">(vii) Washington association of criminal defense attorneys or the Washington defender association;</w:t>
      </w:r>
    </w:p>
    <w:p>
      <w:pPr>
        <w:spacing w:before="0" w:after="0" w:line="408" w:lineRule="exact"/>
        <w:ind w:left="0" w:right="0" w:firstLine="576"/>
        <w:jc w:val="left"/>
      </w:pPr>
      <w:r>
        <w:rPr/>
        <w:t xml:space="preserve">(viii) Washington association of prosecuting attorneys;</w:t>
      </w:r>
    </w:p>
    <w:p>
      <w:pPr>
        <w:spacing w:before="0" w:after="0" w:line="408" w:lineRule="exact"/>
        <w:ind w:left="0" w:right="0" w:firstLine="576"/>
        <w:jc w:val="left"/>
      </w:pPr>
      <w:r>
        <w:rPr/>
        <w:t xml:space="preserve">(ix) Washington association of sheriffs and police chiefs;</w:t>
      </w:r>
    </w:p>
    <w:p>
      <w:pPr>
        <w:spacing w:before="0" w:after="0" w:line="408" w:lineRule="exact"/>
        <w:ind w:left="0" w:right="0" w:firstLine="576"/>
        <w:jc w:val="left"/>
      </w:pPr>
      <w:r>
        <w:rPr/>
        <w:t xml:space="preserve">(x) Washington state association of counties;</w:t>
      </w:r>
    </w:p>
    <w:p>
      <w:pPr>
        <w:spacing w:before="0" w:after="0" w:line="408" w:lineRule="exact"/>
        <w:ind w:left="0" w:right="0" w:firstLine="576"/>
        <w:jc w:val="left"/>
      </w:pPr>
      <w:r>
        <w:rPr/>
        <w:t xml:space="preserve">(xi) Washington state minority and justice commission; and</w:t>
      </w:r>
    </w:p>
    <w:p>
      <w:pPr>
        <w:spacing w:before="0" w:after="0" w:line="408" w:lineRule="exact"/>
        <w:ind w:left="0" w:right="0" w:firstLine="576"/>
        <w:jc w:val="left"/>
      </w:pPr>
      <w:r>
        <w:rPr/>
        <w:t xml:space="preserve">(xii) Two different community organizations representing the interests of incarcerated persons.</w:t>
      </w:r>
    </w:p>
    <w:p>
      <w:pPr>
        <w:spacing w:before="0" w:after="0" w:line="408" w:lineRule="exact"/>
        <w:ind w:left="0" w:right="0" w:firstLine="576"/>
        <w:jc w:val="left"/>
      </w:pPr>
      <w:r>
        <w:rPr/>
        <w:t xml:space="preserve">(3) The legislative membership shall convene the initial meeting of the task force no later than September 1, 2019. The legislative membership shall choose the task force's cochairs, which must include one senator and one representative from among the legislative membership of the task force.</w:t>
      </w:r>
    </w:p>
    <w:p>
      <w:pPr>
        <w:spacing w:before="0" w:after="0" w:line="408" w:lineRule="exact"/>
        <w:ind w:left="0" w:right="0" w:firstLine="576"/>
        <w:jc w:val="left"/>
      </w:pPr>
      <w:r>
        <w:rPr/>
        <w:t xml:space="preserve">(4) The task force shall review state sentencing laws, including a consideration of the report of the sentencing guidelines commission required by section 129, chapter 299, Laws of 2018. The task force shall develop recommendations for the purpose of:</w:t>
      </w:r>
    </w:p>
    <w:p>
      <w:pPr>
        <w:spacing w:before="0" w:after="0" w:line="408" w:lineRule="exact"/>
        <w:ind w:left="0" w:right="0" w:firstLine="576"/>
        <w:jc w:val="left"/>
      </w:pPr>
      <w:r>
        <w:rPr/>
        <w:t xml:space="preserve">(a) Reducing sentencing implementation complexities and errors;</w:t>
      </w:r>
    </w:p>
    <w:p>
      <w:pPr>
        <w:spacing w:before="0" w:after="0" w:line="408" w:lineRule="exact"/>
        <w:ind w:left="0" w:right="0" w:firstLine="576"/>
        <w:jc w:val="left"/>
      </w:pPr>
      <w:r>
        <w:rPr/>
        <w:t xml:space="preserve">(b) Improving the effectiveness of the sentencing system; and</w:t>
      </w:r>
    </w:p>
    <w:p>
      <w:pPr>
        <w:spacing w:before="0" w:after="0" w:line="408" w:lineRule="exact"/>
        <w:ind w:left="0" w:right="0" w:firstLine="576"/>
        <w:jc w:val="left"/>
      </w:pPr>
      <w:r>
        <w:rPr/>
        <w:t xml:space="preserve">(c) Promoting and improving public safety.</w:t>
      </w:r>
    </w:p>
    <w:p>
      <w:pPr>
        <w:spacing w:before="0" w:after="0" w:line="408" w:lineRule="exact"/>
        <w:ind w:left="0" w:right="0" w:firstLine="576"/>
        <w:jc w:val="left"/>
      </w:pPr>
      <w:r>
        <w:rPr/>
        <w:t xml:space="preserve">(5) The task force shall submit an initial report, including findings and recommendations, to the governor and the appropriate committees of the legislature by December 31, 2019. The task force shall submit a final report by December 31, 2020.</w:t>
      </w:r>
    </w:p>
    <w:p>
      <w:pPr>
        <w:spacing w:before="0" w:after="0" w:line="408" w:lineRule="exact"/>
        <w:ind w:left="0" w:right="0" w:firstLine="576"/>
        <w:jc w:val="left"/>
      </w:pPr>
      <w:r>
        <w:rPr/>
        <w:t xml:space="preserve">(6)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(9) This section expires January 1, 2021.</w:t>
      </w:r>
    </w:p>
    <w:p/>
    <w:p>
      <w:pPr>
        <w:jc w:val="center"/>
      </w:pPr>
      <w:r>
        <w:rPr>
          <w:b/>
        </w:rPr>
        <w:t>--- END ---</w:t>
      </w:r>
    </w:p>
    <w:sectPr>
      <w:pgNumType w:start="1"/>
      <w:footerReference xmlns:r="http://schemas.openxmlformats.org/officeDocument/2006/relationships" r:id="R89b413dca10640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978237f7b9452d" /><Relationship Type="http://schemas.openxmlformats.org/officeDocument/2006/relationships/footer" Target="/word/footer1.xml" Id="R89b413dca10640b4" /></Relationships>
</file>