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b91c1f0e8f4c4f" /></Relationships>
</file>

<file path=word/document.xml><?xml version="1.0" encoding="utf-8"?>
<w:document xmlns:w="http://schemas.openxmlformats.org/wordprocessingml/2006/main">
  <w:body>
    <w:p>
      <w:r>
        <w:t>Z-0376.1</w:t>
      </w:r>
    </w:p>
    <w:p>
      <w:pPr>
        <w:jc w:val="center"/>
      </w:pPr>
      <w:r>
        <w:t>_______________________________________________</w:t>
      </w:r>
    </w:p>
    <w:p/>
    <w:p>
      <w:pPr>
        <w:jc w:val="center"/>
      </w:pPr>
      <w:r>
        <w:rPr>
          <w:b/>
        </w:rPr>
        <w:t>HOUSE BILL 1482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Hudgins, Walsh, Appleton, and Reeves; by request of Secretary of State</w:t>
      </w:r>
    </w:p>
    <w:p/>
    <w:p>
      <w:r>
        <w:rPr>
          <w:t xml:space="preserve">Read first time 01/23/19.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primary and general election voters' pamphlets; and amending RCW 29A.32.010.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w:t>
      </w:r>
      <w:r>
        <w:t>((</w:t>
      </w:r>
      <w:r>
        <w:rPr>
          <w:strike/>
        </w:rPr>
        <w:t xml:space="preserve">, whenever at least one statewide measure or office is scheduled to appear on the general election ballot,</w:t>
      </w:r>
      <w:r>
        <w:t>))</w:t>
      </w:r>
      <w:r>
        <w:rPr/>
        <w:t xml:space="preserve"> print and distribute a voters' pamphlet </w:t>
      </w:r>
      <w:r>
        <w:rPr>
          <w:u w:val="single"/>
        </w:rPr>
        <w:t xml:space="preserve">for the primary in each even-numbered year and for the general election every year</w:t>
      </w:r>
      <w:r>
        <w:rPr/>
        <w:t xml:space="preserve">.</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he or she deems appropriate. The secretary of state shall also produce taped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computer bulletin boards, print and broadcast news media, community computer networks, and similar services at the cost of reproduction or transmission of the data.</w:t>
      </w:r>
    </w:p>
    <w:p/>
    <w:p>
      <w:pPr>
        <w:jc w:val="center"/>
      </w:pPr>
      <w:r>
        <w:rPr>
          <w:b/>
        </w:rPr>
        <w:t>--- END ---</w:t>
      </w:r>
    </w:p>
    <w:sectPr>
      <w:pgNumType w:start="1"/>
      <w:footerReference xmlns:r="http://schemas.openxmlformats.org/officeDocument/2006/relationships" r:id="R40eeb36783d746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b2eadbf7c94f5f" /><Relationship Type="http://schemas.openxmlformats.org/officeDocument/2006/relationships/footer" Target="/word/footer1.xml" Id="R40eeb36783d7467a" /></Relationships>
</file>