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51be6f6734245" /></Relationships>
</file>

<file path=word/document.xml><?xml version="1.0" encoding="utf-8"?>
<w:document xmlns:w="http://schemas.openxmlformats.org/wordprocessingml/2006/main">
  <w:body>
    <w:p>
      <w:r>
        <w:t>H-2167.1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1457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House Transportation (originally sponsored by Representatives Dent, Springer, Orcutt, Slatter, Dye, Chapman, Hoff, Eslick, Lovick, and Jenkin)</w:t>
      </w:r>
    </w:p>
    <w:p/>
    <w:p>
      <w:r>
        <w:rPr>
          <w:t xml:space="preserve">READ FIRST TIME 03/01/19.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distribution of aircraft fuel tax revenue; and amending RCW 82.42.090.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82</w:t>
      </w:r>
      <w:r>
        <w:rPr/>
        <w:t xml:space="preserve">.</w:t>
      </w:r>
      <w:r>
        <w:t xml:space="preserve">42</w:t>
      </w:r>
      <w:r>
        <w:rPr/>
        <w:t xml:space="preserve">.</w:t>
      </w:r>
      <w:r>
        <w:t xml:space="preserve">090</w:t>
      </w:r>
      <w:r>
        <w:rPr/>
        <w:t xml:space="preserve"> and 2017 3rd sp.s. c 25 s 42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All moneys collected by the director from the aircraft fuel excise tax as provided in RCW 82.42.020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be transmitted to the state treasurer and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be credited to the aeronautics account hereby created in the state treasury.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</w:t>
      </w:r>
      <w:r>
        <w:rPr/>
        <w:t xml:space="preserve"> Moneys collected from the consumer or user of aircraft fuel from either the use tax imposed by RCW 82.12.020 or the retail sales tax imposed by RCW 82.08.020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be transmitted to the state treasurer and </w:t>
      </w:r>
      <w:r>
        <w:rPr>
          <w:u w:val="single"/>
        </w:rPr>
        <w:t xml:space="preserve">distributed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An amount equivalent to imposing a one percent tax must be credited to the aeronautics account;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An amount equivalent to imposing a five and five-tenths percent tax must be</w:t>
      </w:r>
      <w:r>
        <w:rPr/>
        <w:t xml:space="preserve"> credited to the state general fund.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20cae4587464915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1457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ec4b152904943" /><Relationship Type="http://schemas.openxmlformats.org/officeDocument/2006/relationships/footer" Target="/word/footer1.xml" Id="Rc20cae4587464915" /></Relationships>
</file>