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06e992b23448b" /></Relationships>
</file>

<file path=word/document.xml><?xml version="1.0" encoding="utf-8"?>
<w:document xmlns:w="http://schemas.openxmlformats.org/wordprocessingml/2006/main">
  <w:body>
    <w:p>
      <w:r>
        <w:t>H-0817.2</w:t>
      </w:r>
    </w:p>
    <w:p>
      <w:pPr>
        <w:jc w:val="center"/>
      </w:pPr>
      <w:r>
        <w:t>_______________________________________________</w:t>
      </w:r>
    </w:p>
    <w:p/>
    <w:p>
      <w:pPr>
        <w:jc w:val="center"/>
      </w:pPr>
      <w:r>
        <w:rPr>
          <w:b/>
        </w:rPr>
        <w:t>HOUSE BILL 1391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Senn, Dent, Eslick, Reeves, Pollet, and Ortiz-Self</w:t>
      </w:r>
    </w:p>
    <w:p/>
    <w:p>
      <w:r>
        <w:rPr>
          <w:t xml:space="preserve">Read first time 01/21/19.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improvements to the early achievers program as reviewed and recommended by the joint select committee on the early achievers program; amending RCW 43.216.085, 43.216.515, 43.216.135, 43.216.087, 43.216.655, 43.216.089, and 43.216.100; adding a new section to chapter 43.216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commitment to early learning quality was established through the passage of the early start act and creation of the early achievers program. The legislature recognizes that achieving the desired child outcomes from high quality early learning and child care requires additional financial support, including the payment of living wages to providers, and that the success of the early achievers system must continue to be supported through adequate funding. Further, the legislature finds that the federal administration of children and families advises states to set child care subsidy rates at the seventy-fifth percentile of private market rates in order to ensure equal access to high quality child care. The legislature further finds that objectives of the early achievers program include providing professional development and robust training and coaching opportunities that are available in geographically diverse areas to child care and early education providers who are often small business owners and as such play a critical role in our state's economy.</w:t>
      </w:r>
    </w:p>
    <w:p>
      <w:pPr>
        <w:spacing w:before="0" w:after="0" w:line="408" w:lineRule="exact"/>
        <w:ind w:left="0" w:right="0" w:firstLine="576"/>
        <w:jc w:val="left"/>
      </w:pPr>
      <w:r>
        <w:rPr/>
        <w:t xml:space="preserve">(2) The legislature further finds that the department of children, youth, and families has undertaken efforts to identify professional equivalencies for early learning providers that recognize the commitment and years of experience that much of the workforce demonstrates.</w:t>
      </w:r>
    </w:p>
    <w:p>
      <w:pPr>
        <w:spacing w:before="0" w:after="0" w:line="408" w:lineRule="exact"/>
        <w:ind w:left="0" w:right="0" w:firstLine="576"/>
        <w:jc w:val="left"/>
      </w:pPr>
      <w:r>
        <w:rPr/>
        <w:t xml:space="preserve">(3) Therefore, the legislature intends to raise base subsidy rates for licensed child care centers and family homes to the seventy-fifth percentile of market rates and further incentivize the provision of care for infants and toddlers by considering rates for providers serving these young children. Further, the legislature intends to provide adequate funding to increase needs-based grants, scholarships, and professional development assistance, as well as reduce early achievers coaching ratios, in order to support providers in continuous improvement. The legislature further intends to support the work of the department of children, youth, and families' professional equivalencies committee and the department's development of the proficiency review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2017 3rd sp.s. c 6 s 113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and homes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and homes serving nonschool-age children and receiving state subsidy payments must participate in the early achievers program by the required deadlines established in RCW 43.216.135.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and homes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w:t>
      </w:r>
      <w:r>
        <w:rPr>
          <w:u w:val="single"/>
        </w:rPr>
        <w:t xml:space="preserve">(a)</w:t>
      </w:r>
      <w:r>
        <w:rPr/>
        <w:t xml:space="preserve"> There are five </w:t>
      </w:r>
      <w:r>
        <w:rPr>
          <w:u w:val="single"/>
        </w:rPr>
        <w:t xml:space="preserve">primary</w:t>
      </w:r>
      <w:r>
        <w:rPr/>
        <w:t xml:space="preserve"> levels in the early achievers program.</w:t>
      </w:r>
    </w:p>
    <w:p>
      <w:pPr>
        <w:spacing w:before="0" w:after="0" w:line="408" w:lineRule="exact"/>
        <w:ind w:left="0" w:right="0" w:firstLine="576"/>
        <w:jc w:val="left"/>
      </w:pPr>
      <w:r>
        <w:rPr>
          <w:u w:val="single"/>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u w:val="single"/>
        </w:rPr>
        <w:t xml:space="preserve">(c)</w:t>
      </w:r>
      <w:r>
        <w:rPr/>
        <w:t xml:space="preserve">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w:t>
      </w:r>
      <w:r>
        <w:rPr>
          <w:u w:val="single"/>
        </w:rPr>
        <w:t xml:space="preserve">A rerating shall be considered a renewal for the purposes of department-required renewal ratings.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w:t>
      </w:r>
      <w:r>
        <w:t>((</w:t>
      </w:r>
      <w:r>
        <w:rPr>
          <w:strike/>
        </w:rPr>
        <w:t xml:space="preserve">By November 1, 2015,</w:t>
      </w:r>
      <w:r>
        <w:t>))</w:t>
      </w:r>
      <w:r>
        <w:rPr/>
        <w:t xml:space="preserve"> </w:t>
      </w:r>
      <w:r>
        <w:rPr>
          <w:u w:val="single"/>
        </w:rPr>
        <w:t xml:space="preserve">E</w:t>
      </w:r>
      <w:r>
        <w:rPr/>
        <w:t xml:space="preserv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w:t>
      </w:r>
      <w:r>
        <w:rPr>
          <w:u w:val="single"/>
        </w:rPr>
        <w:t xml:space="preserve">By December 1, 2019, the department must implement a robust cross-accreditation process with multiple pathways that allows a provider to earn equivalent early achievers credit resulting from accreditation by high quality national organizations.</w:t>
      </w:r>
    </w:p>
    <w:p>
      <w:pPr>
        <w:spacing w:before="0" w:after="0" w:line="408" w:lineRule="exact"/>
        <w:ind w:left="0" w:right="0" w:firstLine="576"/>
        <w:jc w:val="left"/>
      </w:pPr>
      <w:r>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2015 3rd sp.s. c 7 s 9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w:t>
      </w:r>
      <w:r>
        <w:t>((</w:t>
      </w:r>
      <w:r>
        <w:rPr>
          <w:strike/>
        </w:rPr>
        <w:t xml:space="preserve">,</w:t>
      </w:r>
      <w:r>
        <w:t>))</w:t>
      </w:r>
      <w:r>
        <w:rPr/>
        <w:t xml:space="preserve"> including, but not limited to</w:t>
      </w:r>
      <w:r>
        <w:rPr>
          <w:u w:val="single"/>
        </w:rPr>
        <w:t xml:space="preserve">,</w:t>
      </w:r>
      <w:r>
        <w:rPr/>
        <w:t xml:space="preserve">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w:t>
      </w:r>
      <w:r>
        <w:t>((</w:t>
      </w:r>
      <w:r>
        <w:rPr>
          <w:strike/>
        </w:rPr>
        <w:t xml:space="preserve">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strike/>
        </w:rPr>
        <w:t xml:space="preserve">(a) Enroll in the early achievers program by October 1, 2015;</w:t>
      </w:r>
    </w:p>
    <w:p>
      <w:pPr>
        <w:spacing w:before="0" w:after="0" w:line="408" w:lineRule="exact"/>
        <w:ind w:left="0" w:right="0" w:firstLine="576"/>
        <w:jc w:val="left"/>
      </w:pPr>
      <w:r>
        <w:rPr>
          <w:strike/>
        </w:rPr>
        <w:t xml:space="preserve">(b) Rate at a level 4 or 5 in the early achievers program by March 1, 2016. If an early childhood education and assistance program provider rates below a level 4 by March 1, 2016, the provider must complete remedial activities with the department, and rate at a level 4 or 5 within six months of beginning remedial activities.</w:t>
      </w:r>
    </w:p>
    <w:p>
      <w:pPr>
        <w:spacing w:before="0" w:after="0" w:line="408" w:lineRule="exact"/>
        <w:ind w:left="0" w:right="0" w:firstLine="576"/>
        <w:jc w:val="left"/>
      </w:pPr>
      <w:r>
        <w:rPr>
          <w:strike/>
        </w:rPr>
        <w:t xml:space="preserve">(5) Effective October 1, 2015,</w:t>
      </w:r>
      <w:r>
        <w:t>))</w:t>
      </w:r>
      <w:r>
        <w:rPr/>
        <w:t xml:space="preserve"> </w:t>
      </w:r>
      <w:r>
        <w:rPr>
          <w:u w:val="single"/>
        </w:rPr>
        <w:t xml:space="preserve">A</w:t>
      </w:r>
      <w:r>
        <w:rPr/>
        <w:t xml:space="preserve"> new early childhood education and assistance program provider must complete the requirements in this subsection </w:t>
      </w:r>
      <w:r>
        <w:t>((</w:t>
      </w:r>
      <w:r>
        <w:rPr>
          <w:strike/>
        </w:rPr>
        <w:t xml:space="preserve">(5)</w:t>
      </w:r>
      <w:r>
        <w:t>))</w:t>
      </w:r>
      <w:r>
        <w:rPr/>
        <w:t xml:space="preserve">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w:t>
      </w:r>
      <w:r>
        <w:t>((</w:t>
      </w:r>
      <w:r>
        <w:rPr>
          <w:strike/>
        </w:rPr>
        <w:t xml:space="preserve">twelve</w:t>
      </w:r>
      <w:r>
        <w:t>))</w:t>
      </w:r>
      <w:r>
        <w:rPr/>
        <w:t xml:space="preserve"> </w:t>
      </w:r>
      <w:r>
        <w:rPr>
          <w:u w:val="single"/>
        </w:rPr>
        <w:t xml:space="preserve">twenty-four</w:t>
      </w:r>
      <w:r>
        <w:rPr/>
        <w:t xml:space="preserve"> months of enrollment. If an early childhood education and assistance program provider rates below a level 4 within </w:t>
      </w:r>
      <w:r>
        <w:t>((</w:t>
      </w:r>
      <w:r>
        <w:rPr>
          <w:strike/>
        </w:rPr>
        <w:t xml:space="preserve">twelve</w:t>
      </w:r>
      <w:r>
        <w:t>))</w:t>
      </w:r>
      <w:r>
        <w:rPr/>
        <w:t xml:space="preserve"> </w:t>
      </w:r>
      <w:r>
        <w:rPr>
          <w:u w:val="single"/>
        </w:rPr>
        <w:t xml:space="preserve">twenty-four</w:t>
      </w:r>
      <w:r>
        <w:rPr/>
        <w:t xml:space="preserve"> months of enrollment, the provider must complete remedial activities with the department, and rate at a level 4 or 5 within six months of beginning remedial activities.</w:t>
      </w:r>
    </w:p>
    <w:p>
      <w:pPr>
        <w:spacing w:before="0" w:after="0" w:line="408" w:lineRule="exact"/>
        <w:ind w:left="0" w:right="0" w:firstLine="576"/>
        <w:jc w:val="left"/>
      </w:pPr>
      <w:r>
        <w:rPr/>
        <w:t xml:space="preserve">(ii) Licensed or certified child care centers and homes that administer an early childhood education and assistance program shall rate at a level 4 or 5 in the early achievers program within </w:t>
      </w:r>
      <w:r>
        <w:t>((</w:t>
      </w:r>
      <w:r>
        <w:rPr>
          <w:strike/>
        </w:rPr>
        <w:t xml:space="preserve">eighteen</w:t>
      </w:r>
      <w:r>
        <w:t>))</w:t>
      </w:r>
      <w:r>
        <w:rPr/>
        <w:t xml:space="preserve"> </w:t>
      </w:r>
      <w:r>
        <w:rPr>
          <w:u w:val="single"/>
        </w:rPr>
        <w:t xml:space="preserve">twenty-four</w:t>
      </w:r>
      <w:r>
        <w:rPr/>
        <w:t xml:space="preserve"> months of the start date of the early childhood education and assistance program contract. If an early childhood education and assistance program provider rates below a level 4 within </w:t>
      </w:r>
      <w:r>
        <w:t>((</w:t>
      </w:r>
      <w:r>
        <w:rPr>
          <w:strike/>
        </w:rPr>
        <w:t xml:space="preserve">eighteen</w:t>
      </w:r>
      <w:r>
        <w:t>))</w:t>
      </w:r>
      <w:r>
        <w:rPr/>
        <w:t xml:space="preserve"> </w:t>
      </w:r>
      <w:r>
        <w:rPr>
          <w:u w:val="single"/>
        </w:rPr>
        <w:t xml:space="preserve">twenty-four</w:t>
      </w:r>
      <w:r>
        <w:rPr/>
        <w:t xml:space="preserve"> months, the provider must complete remedial activities with the department, and rate at a level 4 or 5 within six months of beginning remedial activities.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(6) When an early childhood education and assistance program in good standing changes classroom locations to a comparable or improved space within the same facility, a rerating is not required outside of the regular rerating and renewal cycle.</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w:t>
      </w:r>
      <w:r>
        <w:t>((</w:t>
      </w:r>
      <w:r>
        <w:rPr>
          <w:strike/>
        </w:rPr>
        <w:t xml:space="preserve">43.215.102</w:t>
      </w:r>
      <w:r>
        <w:t>))</w:t>
      </w:r>
      <w:r>
        <w:rPr/>
        <w:t xml:space="preserve"> </w:t>
      </w:r>
      <w:r>
        <w:rPr>
          <w:u w:val="single"/>
        </w:rPr>
        <w:t xml:space="preserve">43.216.089</w:t>
      </w:r>
      <w:r>
        <w:rPr/>
        <w:t xml:space="preserve">.</w:t>
      </w:r>
    </w:p>
    <w:p>
      <w:pPr>
        <w:spacing w:before="0" w:after="0" w:line="408" w:lineRule="exact"/>
        <w:ind w:left="0" w:right="0" w:firstLine="576"/>
        <w:jc w:val="left"/>
      </w:pPr>
      <w:r>
        <w:rPr/>
        <w:t xml:space="preserve">(8) </w:t>
      </w:r>
      <w:r>
        <w:t>((</w:t>
      </w:r>
      <w:r>
        <w:rPr>
          <w:strike/>
        </w:rPr>
        <w:t xml:space="preserve">By December 1, 2015,</w:t>
      </w:r>
      <w:r>
        <w:t>))</w:t>
      </w:r>
      <w:r>
        <w:rPr/>
        <w:t xml:space="preserve"> </w:t>
      </w:r>
      <w:r>
        <w:rPr>
          <w:u w:val="single"/>
        </w:rPr>
        <w:t xml:space="preserve">T</w:t>
      </w:r>
      <w:r>
        <w:rPr/>
        <w:t xml:space="preserve">he department shall develop </w:t>
      </w:r>
      <w:r>
        <w:t>((</w:t>
      </w:r>
      <w:r>
        <w:rPr>
          <w:strike/>
        </w:rPr>
        <w:t xml:space="preserve">a</w:t>
      </w:r>
      <w:r>
        <w:t>))</w:t>
      </w:r>
      <w:r>
        <w:rPr/>
        <w:t xml:space="preserve"> </w:t>
      </w:r>
      <w:r>
        <w:rPr>
          <w:u w:val="single"/>
        </w:rPr>
        <w:t xml:space="preserve">multiple</w:t>
      </w:r>
      <w:r>
        <w:rPr/>
        <w:t xml:space="preserve"> pathway</w:t>
      </w:r>
      <w:r>
        <w:rPr>
          <w:u w:val="single"/>
        </w:rPr>
        <w:t xml:space="preserve">s</w:t>
      </w:r>
      <w:r>
        <w:rPr/>
        <w:t xml:space="preserve"> for licensed or certified child care centers and homes to administer an early childhood education and assistance program. The pathway</w:t>
      </w:r>
      <w:r>
        <w:rPr>
          <w:u w:val="single"/>
        </w:rPr>
        <w:t xml:space="preserve">s</w:t>
      </w:r>
      <w:r>
        <w:rPr/>
        <w:t xml:space="preserve"> shall include an accommodation for these providers to rate at a level 4 or 5 in the early achievers program according to the timelines and standards established in subsection </w:t>
      </w:r>
      <w:r>
        <w:t>((</w:t>
      </w:r>
      <w:r>
        <w:rPr>
          <w:strike/>
        </w:rPr>
        <w:t xml:space="preserve">(5)</w:t>
      </w:r>
      <w:r>
        <w:t>))</w:t>
      </w:r>
      <w:r>
        <w:rPr/>
        <w:t xml:space="preserve"> </w:t>
      </w:r>
      <w:r>
        <w:rPr>
          <w:u w:val="single"/>
        </w:rPr>
        <w:t xml:space="preserve">(4)</w:t>
      </w:r>
      <w:r>
        <w:rPr/>
        <w:t xml:space="preserve">(b)(ii) of this section. </w:t>
      </w:r>
      <w:r>
        <w:rPr>
          <w:u w:val="single"/>
        </w:rPr>
        <w:t xml:space="preserve">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2018 c 52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w:t>
      </w:r>
      <w:r>
        <w:t>((</w:t>
      </w:r>
      <w:r>
        <w:rPr>
          <w:strike/>
        </w:rPr>
        <w:t xml:space="preserve">Rate</w:t>
      </w:r>
      <w:r>
        <w:t>))</w:t>
      </w:r>
      <w:r>
        <w:rPr/>
        <w:t xml:space="preserve"> </w:t>
      </w:r>
      <w:r>
        <w:rPr>
          <w:u w:val="single"/>
        </w:rPr>
        <w:t xml:space="preserve">Complete level 2 activities and rate or request to be rated</w:t>
      </w:r>
      <w:r>
        <w:rPr/>
        <w:t xml:space="preserve"> at a level 3 or higher in the early achievers program by December 31, 2019. If a child care provider </w:t>
      </w:r>
      <w:r>
        <w:t>((</w:t>
      </w:r>
      <w:r>
        <w:rPr>
          <w:strike/>
        </w:rPr>
        <w:t xml:space="preserve">rates below</w:t>
      </w:r>
      <w:r>
        <w:t>))</w:t>
      </w:r>
      <w:r>
        <w:rPr/>
        <w:t xml:space="preserve"> </w:t>
      </w:r>
      <w:r>
        <w:rPr>
          <w:u w:val="single"/>
        </w:rPr>
        <w:t xml:space="preserve">does not complete level 2 activities and rate at or request to be rated at</w:t>
      </w:r>
      <w:r>
        <w:rPr/>
        <w:t xml:space="preserve"> a level 3 by December 31, 2019, the provider must complete remedial activities with the department, and </w:t>
      </w:r>
      <w:r>
        <w:t>((</w:t>
      </w:r>
      <w:r>
        <w:rPr>
          <w:strike/>
        </w:rPr>
        <w:t xml:space="preserve">rate at</w:t>
      </w:r>
      <w:r>
        <w:t>))</w:t>
      </w:r>
      <w:r>
        <w:rPr/>
        <w:t xml:space="preserve"> </w:t>
      </w:r>
      <w:r>
        <w:rPr>
          <w:u w:val="single"/>
        </w:rPr>
        <w:t xml:space="preserve">must complete level 2 activities and rate at or request to be rated at</w:t>
      </w:r>
      <w:r>
        <w:rPr/>
        <w:t xml:space="preserve"> a level 3 or higher no later than </w:t>
      </w:r>
      <w:r>
        <w:t>((</w:t>
      </w:r>
      <w:r>
        <w:rPr>
          <w:strike/>
        </w:rPr>
        <w:t xml:space="preserve">June</w:t>
      </w:r>
      <w:r>
        <w:t>))</w:t>
      </w:r>
      <w:r>
        <w:rPr/>
        <w:t xml:space="preserve"> </w:t>
      </w:r>
      <w:r>
        <w:rPr>
          <w:u w:val="single"/>
        </w:rPr>
        <w:t xml:space="preserve">December</w:t>
      </w:r>
      <w:r>
        <w:rPr/>
        <w:t xml:space="preserve"> 30, 2020.</w:t>
      </w:r>
    </w:p>
    <w:p>
      <w:pPr>
        <w:spacing w:before="0" w:after="0" w:line="408" w:lineRule="exact"/>
        <w:ind w:left="0" w:right="0" w:firstLine="576"/>
        <w:jc w:val="left"/>
      </w:pPr>
      <w:r>
        <w:rPr/>
        <w:t xml:space="preserve">(4) </w:t>
      </w:r>
      <w:r>
        <w:t>((</w:t>
      </w:r>
      <w:r>
        <w:rPr>
          <w:strike/>
        </w:rPr>
        <w:t xml:space="preserve">Effective July 1, 2016,</w:t>
      </w:r>
      <w:r>
        <w:t>))</w:t>
      </w:r>
      <w:r>
        <w:rPr/>
        <w:t xml:space="preserve"> </w:t>
      </w:r>
      <w:r>
        <w:rPr>
          <w:u w:val="single"/>
        </w:rPr>
        <w:t xml:space="preserve">A</w:t>
      </w:r>
      <w:r>
        <w:rPr/>
        <w:t xml:space="preserve">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w:t>
      </w:r>
      <w:r>
        <w:rPr>
          <w:u w:val="single"/>
        </w:rPr>
        <w:t xml:space="preserve">or request to be rated</w:t>
      </w:r>
      <w:r>
        <w:rPr/>
        <w:t xml:space="preserve"> at a level 3 or higher in the early achievers program within thirty months of enrollment. If a child care provider </w:t>
      </w:r>
      <w:r>
        <w:t>((</w:t>
      </w:r>
      <w:r>
        <w:rPr>
          <w:strike/>
        </w:rPr>
        <w:t xml:space="preserve">rates below</w:t>
      </w:r>
      <w:r>
        <w:t>))</w:t>
      </w:r>
      <w:r>
        <w:rPr/>
        <w:t xml:space="preserve"> </w:t>
      </w:r>
      <w:r>
        <w:rPr>
          <w:u w:val="single"/>
        </w:rPr>
        <w:t xml:space="preserve">does not rate or request to be rated at</w:t>
      </w:r>
      <w:r>
        <w:rPr/>
        <w:t xml:space="preserve"> a level 3 within thirty months from enrollment into the early achievers program, the provider must complete remedial activities with the department, and rate </w:t>
      </w:r>
      <w:r>
        <w:rPr>
          <w:u w:val="single"/>
        </w:rPr>
        <w:t xml:space="preserve">or request to be rated</w:t>
      </w:r>
      <w:r>
        <w:rPr/>
        <w:t xml:space="preserve"> at a level 3 or higher within six months of beginning remedial activities.</w:t>
      </w:r>
    </w:p>
    <w:p>
      <w:pPr>
        <w:spacing w:before="0" w:after="0" w:line="408" w:lineRule="exact"/>
        <w:ind w:left="0" w:right="0" w:firstLine="576"/>
        <w:jc w:val="left"/>
      </w:pPr>
      <w:r>
        <w:rPr/>
        <w:t xml:space="preserve">(5) If a child care provider does not rate </w:t>
      </w:r>
      <w:r>
        <w:rPr>
          <w:u w:val="single"/>
        </w:rPr>
        <w:t xml:space="preserve">or request to be rated</w:t>
      </w:r>
      <w:r>
        <w:rPr/>
        <w:t xml:space="preserv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2015 3rd sp.s. c 7 s 5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w:t>
      </w:r>
      <w:r>
        <w:rPr>
          <w:u w:val="single"/>
        </w:rPr>
        <w:t xml:space="preserve">physical improvements of early learning facilities, and</w:t>
      </w:r>
      <w:r>
        <w:rPr/>
        <w:t xml:space="preserve">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must analyze consumer income and copay requirements in the working connections child care program and report recommendations to the governor and the legislature by December 1, 2019, for mitigating the "cliff effect" for child care subsidy consumers. Recommendations must consider:</w:t>
      </w:r>
    </w:p>
    <w:p>
      <w:pPr>
        <w:spacing w:before="0" w:after="0" w:line="408" w:lineRule="exact"/>
        <w:ind w:left="0" w:right="0" w:firstLine="576"/>
        <w:jc w:val="left"/>
      </w:pPr>
      <w:r>
        <w:rPr/>
        <w:t xml:space="preserve">(a) How to further develop and implement a sliding scale or tiered reimbursement and phase-out model that works for both consumers and providers and provides incentives for quality child care across communities;</w:t>
      </w:r>
    </w:p>
    <w:p>
      <w:pPr>
        <w:spacing w:before="0" w:after="0" w:line="408" w:lineRule="exact"/>
        <w:ind w:left="0" w:right="0" w:firstLine="576"/>
        <w:jc w:val="left"/>
      </w:pPr>
      <w:r>
        <w:rPr/>
        <w:t xml:space="preserve">(b) Whether or not increasing or decreasing the eligibility threshold for working connections child care would allow parents to grow professionally without losing affordable child care; and</w:t>
      </w:r>
    </w:p>
    <w:p>
      <w:pPr>
        <w:spacing w:before="0" w:after="0" w:line="408" w:lineRule="exact"/>
        <w:ind w:left="0" w:right="0" w:firstLine="576"/>
        <w:jc w:val="left"/>
      </w:pPr>
      <w:r>
        <w:rPr/>
        <w:t xml:space="preserve">(c) Whether further graduation of the copay scale would help alleviate the cliff that occurs at subsidy cutoff.</w:t>
      </w:r>
    </w:p>
    <w:p>
      <w:pPr>
        <w:spacing w:before="0" w:after="0" w:line="408" w:lineRule="exact"/>
        <w:ind w:left="0" w:right="0" w:firstLine="576"/>
        <w:jc w:val="left"/>
      </w:pPr>
      <w:r>
        <w:rPr/>
        <w:t xml:space="preserve">(2)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655</w:t>
      </w:r>
      <w:r>
        <w:rPr/>
        <w:t xml:space="preserve"> and 2015 3rd sp.s. c 7 s 13 are each amended to read as follows:</w:t>
      </w:r>
    </w:p>
    <w:p>
      <w:pPr>
        <w:spacing w:before="0" w:after="0" w:line="408" w:lineRule="exact"/>
        <w:ind w:left="0" w:right="0" w:firstLine="576"/>
        <w:jc w:val="left"/>
      </w:pPr>
      <w:r>
        <w:rPr/>
        <w:t xml:space="preserve">(1)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spacing w:before="0" w:after="0" w:line="408" w:lineRule="exact"/>
        <w:ind w:left="0" w:right="0" w:firstLine="576"/>
        <w:jc w:val="left"/>
      </w:pPr>
      <w:r>
        <w:rPr/>
        <w:t xml:space="preserve">(3)</w:t>
      </w:r>
      <w:r>
        <w:t>((</w:t>
      </w:r>
      <w:r>
        <w:rPr>
          <w:strike/>
        </w:rPr>
        <w:t xml:space="preserve">(a)</w:t>
      </w:r>
      <w:r>
        <w:t>))</w:t>
      </w:r>
      <w:r>
        <w:rPr/>
        <w:t xml:space="preserve">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t>((</w:t>
      </w:r>
      <w:r>
        <w:rPr>
          <w:strike/>
        </w:rPr>
        <w:t xml:space="preserve">(b) By July 31, 2016, the department shall provide recommendations to the appropriate committees of the legislature and the early learning advisory council on research-based cultural competency standards for early learning professional training.</w:t>
      </w:r>
      <w:r>
        <w:t>))</w:t>
      </w:r>
    </w:p>
    <w:p>
      <w:pPr>
        <w:spacing w:before="0" w:after="0" w:line="408" w:lineRule="exact"/>
        <w:ind w:left="0" w:right="0" w:firstLine="576"/>
        <w:jc w:val="left"/>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spacing w:before="0" w:after="0" w:line="408" w:lineRule="exact"/>
        <w:ind w:left="0" w:right="0" w:firstLine="576"/>
        <w:jc w:val="left"/>
      </w:pPr>
      <w:r>
        <w:rPr/>
        <w:t xml:space="preserve">(5)</w:t>
      </w:r>
      <w:r>
        <w:t>((</w:t>
      </w:r>
      <w:r>
        <w:rPr>
          <w:strike/>
        </w:rPr>
        <w:t xml:space="preserve">(a) By December 1, 2015, the department shall provide recommendations to the appropriate committees of the legislature on child attendance policies pertaining to the working connections child care program and the early childhood education and assistance program. The recommendations shall include the following:</w:t>
      </w:r>
    </w:p>
    <w:p>
      <w:pPr>
        <w:spacing w:before="0" w:after="0" w:line="408" w:lineRule="exact"/>
        <w:ind w:left="0" w:right="0" w:firstLine="576"/>
        <w:jc w:val="left"/>
      </w:pPr>
      <w:r>
        <w:rPr>
          <w:strike/>
        </w:rPr>
        <w:t xml:space="preserve">(i) Allowable periods of child absences;</w:t>
      </w:r>
    </w:p>
    <w:p>
      <w:pPr>
        <w:spacing w:before="0" w:after="0" w:line="408" w:lineRule="exact"/>
        <w:ind w:left="0" w:right="0" w:firstLine="576"/>
        <w:jc w:val="left"/>
      </w:pPr>
      <w:r>
        <w:rPr>
          <w:strike/>
        </w:rPr>
        <w:t xml:space="preserve">(ii) Required contact with parents or caregivers to discuss child absences and encourage regular program attendance; and</w:t>
      </w:r>
    </w:p>
    <w:p>
      <w:pPr>
        <w:spacing w:before="0" w:after="0" w:line="408" w:lineRule="exact"/>
        <w:ind w:left="0" w:right="0" w:firstLine="576"/>
        <w:jc w:val="left"/>
      </w:pPr>
      <w:r>
        <w:rPr>
          <w:strike/>
        </w:rPr>
        <w:t xml:space="preserve">(iii) A de-enrollment procedure when allowable child absences are exceeded.</w:t>
      </w:r>
    </w:p>
    <w:p>
      <w:pPr>
        <w:spacing w:before="0" w:after="0" w:line="408" w:lineRule="exact"/>
        <w:ind w:left="0" w:right="0" w:firstLine="576"/>
        <w:jc w:val="left"/>
      </w:pPr>
      <w:r>
        <w:rPr>
          <w:strike/>
        </w:rPr>
        <w:t xml:space="preserve">(b) The department shall develop recommendations on child absences and attendance within the department's appropriations.</w:t>
      </w:r>
      <w:r>
        <w:t>))</w:t>
      </w:r>
      <w:r>
        <w:rPr/>
        <w:t xml:space="preserve"> </w:t>
      </w:r>
      <w:r>
        <w:rPr>
          <w:u w:val="single"/>
        </w:rPr>
        <w:t xml:space="preserve">By December 31, 2021, the Washington state institute for public policy shall update the outcome evaluation of the early childhood education and assistance program required by chapter 16, Laws of 2013 and report to the governor and the legislature on the outcomes of program participants. The evaluation must examine short and long-term impacts on program participants, including high school graduation rates for up to two cohorts. When conducting the evaluation, the institute must consider, to the extent that data is available, the education levels of early childhood education and assistance program staff and the effects of full-day programming and half-day programming on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adopt administrative policies in the early achievers program to:</w:t>
      </w:r>
    </w:p>
    <w:p>
      <w:pPr>
        <w:spacing w:before="0" w:after="0" w:line="408" w:lineRule="exact"/>
        <w:ind w:left="0" w:right="0" w:firstLine="576"/>
        <w:jc w:val="left"/>
      </w:pPr>
      <w:r>
        <w:rPr/>
        <w:t xml:space="preserve">(1) Consider child care provider schedules and needs and allow flexibility when scheduling data collection and rating visits at a facility;</w:t>
      </w:r>
    </w:p>
    <w:p>
      <w:pPr>
        <w:spacing w:before="0" w:after="0" w:line="408" w:lineRule="exact"/>
        <w:ind w:left="0" w:right="0" w:firstLine="576"/>
        <w:jc w:val="left"/>
      </w:pPr>
      <w:r>
        <w:rPr/>
        <w:t xml:space="preserve">(2) Eliminate rating scale barriers and weight early achievers points to incentivize providers to serve infants and toddlers;</w:t>
      </w:r>
    </w:p>
    <w:p>
      <w:pPr>
        <w:spacing w:before="0" w:after="0" w:line="408" w:lineRule="exact"/>
        <w:ind w:left="0" w:right="0" w:firstLine="576"/>
        <w:jc w:val="left"/>
      </w:pPr>
      <w:r>
        <w:rPr/>
        <w:t xml:space="preserve">(3) Remove barriers to timely approvals for one-on-one behavioral support assistants when requested by a provider;</w:t>
      </w:r>
    </w:p>
    <w:p>
      <w:pPr>
        <w:spacing w:before="0" w:after="0" w:line="408" w:lineRule="exact"/>
        <w:ind w:left="0" w:right="0" w:firstLine="576"/>
        <w:jc w:val="left"/>
      </w:pPr>
      <w:r>
        <w:rPr/>
        <w:t xml:space="preserve">(4) Prioritize reratings for providers rated at a level 2;</w:t>
      </w:r>
    </w:p>
    <w:p>
      <w:pPr>
        <w:spacing w:before="0" w:after="0" w:line="408" w:lineRule="exact"/>
        <w:ind w:left="0" w:right="0" w:firstLine="576"/>
        <w:jc w:val="left"/>
      </w:pPr>
      <w:r>
        <w:rPr/>
        <w:t xml:space="preserve">(5) Prioritize reratings for providers rated at a level 3 who are seeking to become early childhood education and assistance program providers;</w:t>
      </w:r>
    </w:p>
    <w:p>
      <w:pPr>
        <w:spacing w:before="0" w:after="0" w:line="408" w:lineRule="exact"/>
        <w:ind w:left="0" w:right="0" w:firstLine="576"/>
        <w:jc w:val="left"/>
      </w:pPr>
      <w:r>
        <w:rPr/>
        <w:t xml:space="preserve">(6) Require trauma-informed care training for raters and coaches; and</w:t>
      </w:r>
    </w:p>
    <w:p>
      <w:pPr>
        <w:spacing w:before="0" w:after="0" w:line="408" w:lineRule="exact"/>
        <w:ind w:left="0" w:right="0" w:firstLine="576"/>
        <w:jc w:val="left"/>
      </w:pPr>
      <w:r>
        <w:rPr/>
        <w:t xml:space="preserve">(7) Provide continuous and robust postrating feedback to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the department of children, youth, and families must submit to the governor and the legislature a plan to pay providers an enhanced rate, award additional early achievers points, and create a corresponding trauma-informed care designation for providers serving behaviorally challenged children.</w:t>
      </w:r>
    </w:p>
    <w:p>
      <w:pPr>
        <w:spacing w:before="0" w:after="0" w:line="408" w:lineRule="exact"/>
        <w:ind w:left="0" w:right="0" w:firstLine="576"/>
        <w:jc w:val="left"/>
      </w:pPr>
      <w:r>
        <w:rPr/>
        <w:t xml:space="preserve">(2) This section expires December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the department of children, youth, and families must evaluate options and propose recommendations to the governor and legislature related to paying child care subsidy providers a set monthly rate rather than a daily rate.</w:t>
      </w:r>
    </w:p>
    <w:p>
      <w:pPr>
        <w:spacing w:before="0" w:after="0" w:line="408" w:lineRule="exact"/>
        <w:ind w:left="0" w:right="0" w:firstLine="576"/>
        <w:jc w:val="left"/>
      </w:pPr>
      <w:r>
        <w:rPr/>
        <w:t xml:space="preserve">(2) This section expires December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2015 3rd sp.s. c 7 s 18 are each amended to read as follows:</w:t>
      </w:r>
    </w:p>
    <w:p>
      <w:pPr>
        <w:spacing w:before="0" w:after="0" w:line="408" w:lineRule="exact"/>
        <w:ind w:left="0" w:right="0" w:firstLine="576"/>
        <w:jc w:val="left"/>
      </w:pPr>
      <w:r>
        <w:rPr/>
        <w:t xml:space="preserve">(1) Beginning December 15, 2015, and each December 15th thereafter, the department, in collaboration with the statewide child care resource and referral organization, and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(a)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 and</w:t>
      </w:r>
    </w:p>
    <w:p>
      <w:pPr>
        <w:spacing w:before="0" w:after="0" w:line="408" w:lineRule="exact"/>
        <w:ind w:left="0" w:right="0" w:firstLine="576"/>
        <w:jc w:val="left"/>
      </w:pPr>
      <w:r>
        <w:rPr/>
        <w:t xml:space="preserve">(l)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w:t>
      </w:r>
      <w:r>
        <w:t>((</w:t>
      </w:r>
      <w:r>
        <w:rPr>
          <w:strike/>
        </w:rPr>
        <w:t xml:space="preserve">43.215.415, 43.215.425, and 43.215.455</w:t>
      </w:r>
      <w:r>
        <w:t>))</w:t>
      </w:r>
      <w:r>
        <w:rPr/>
        <w:t xml:space="preserve"> </w:t>
      </w:r>
      <w:r>
        <w:rPr>
          <w:u w:val="single"/>
        </w:rPr>
        <w:t xml:space="preserve">43.216.515, 43.216.525, and 43.216.555</w:t>
      </w:r>
      <w:r>
        <w:rPr/>
        <w:t xml:space="preserve">;</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w:t>
      </w:r>
      <w:r>
        <w:t>((</w:t>
      </w:r>
      <w:r>
        <w:rPr>
          <w:strike/>
        </w:rPr>
        <w:t xml:space="preserve">43.215.415</w:t>
      </w:r>
      <w:r>
        <w:t>))</w:t>
      </w:r>
      <w:r>
        <w:rPr/>
        <w:t xml:space="preserve"> </w:t>
      </w:r>
      <w:r>
        <w:rPr>
          <w:u w:val="single"/>
        </w:rPr>
        <w:t xml:space="preserve">43.216.515</w:t>
      </w:r>
      <w:r>
        <w:rPr/>
        <w:t xml:space="preserve">;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0" w:after="0" w:line="408" w:lineRule="exact"/>
        <w:ind w:left="0" w:right="0" w:firstLine="576"/>
        <w:jc w:val="left"/>
      </w:pPr>
      <w:r>
        <w:rPr/>
        <w:t xml:space="preserve">(2) The first annual report due under subsection (1) of this section also shall include a description of the early achievers program extension protocol required under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(3)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(4)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w:t>
      </w:r>
      <w:r>
        <w:t>((</w:t>
      </w:r>
      <w:r>
        <w:rPr>
          <w:strike/>
        </w:rPr>
        <w:t xml:space="preserve">43.215.135</w:t>
      </w:r>
      <w:r>
        <w:t>))</w:t>
      </w:r>
      <w:r>
        <w:rPr/>
        <w:t xml:space="preserve"> </w:t>
      </w:r>
      <w:r>
        <w:rPr>
          <w:u w:val="single"/>
        </w:rPr>
        <w:t xml:space="preserve">43.216.135</w:t>
      </w:r>
      <w:r>
        <w:rPr/>
        <w:t xml:space="preserve"> and </w:t>
      </w:r>
      <w:r>
        <w:t>((</w:t>
      </w:r>
      <w:r>
        <w:rPr>
          <w:strike/>
        </w:rPr>
        <w:t xml:space="preserve">43.215.415</w:t>
      </w:r>
      <w:r>
        <w:t>))</w:t>
      </w:r>
      <w:r>
        <w:rPr/>
        <w:t xml:space="preserve"> </w:t>
      </w:r>
      <w:r>
        <w:rPr>
          <w:u w:val="single"/>
        </w:rPr>
        <w:t xml:space="preserve">43.216.515</w:t>
      </w:r>
      <w:r>
        <w:rPr/>
        <w:t xml:space="preserve">,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annual progress report along with any recommendations for legislative action to address the needs of the providers and the children and families they 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100</w:t>
      </w:r>
      <w:r>
        <w:rPr/>
        <w:t xml:space="preserve"> and 2016 c 72 s 701 are each amended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w:t>
      </w:r>
      <w:r>
        <w:t>((</w:t>
      </w:r>
      <w:r>
        <w:rPr>
          <w:strike/>
        </w:rPr>
        <w:t xml:space="preserve">43.215.100</w:t>
      </w:r>
      <w:r>
        <w:t>))</w:t>
      </w:r>
      <w:r>
        <w:rPr/>
        <w:t xml:space="preserve"> </w:t>
      </w:r>
      <w:r>
        <w:rPr>
          <w:u w:val="single"/>
        </w:rPr>
        <w:t xml:space="preserve">43.216.085</w:t>
      </w:r>
      <w:r>
        <w:rPr/>
        <w:t xml:space="preserve">.</w:t>
      </w:r>
    </w:p>
    <w:p/>
    <w:p>
      <w:pPr>
        <w:jc w:val="center"/>
      </w:pPr>
      <w:r>
        <w:rPr>
          <w:b/>
        </w:rPr>
        <w:t>--- END ---</w:t>
      </w:r>
    </w:p>
    <w:sectPr>
      <w:pgNumType w:start="1"/>
      <w:footerReference xmlns:r="http://schemas.openxmlformats.org/officeDocument/2006/relationships" r:id="Re7e820cab6014c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a4cb3541a64917" /><Relationship Type="http://schemas.openxmlformats.org/officeDocument/2006/relationships/footer" Target="/word/footer1.xml" Id="Re7e820cab6014c4f" /></Relationships>
</file>