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299eaa9904074" /></Relationships>
</file>

<file path=word/document.xml><?xml version="1.0" encoding="utf-8"?>
<w:document xmlns:w="http://schemas.openxmlformats.org/wordprocessingml/2006/main">
  <w:body>
    <w:p>
      <w:r>
        <w:t>H-0642.1</w:t>
      </w:r>
    </w:p>
    <w:p>
      <w:pPr>
        <w:jc w:val="center"/>
      </w:pPr>
      <w:r>
        <w:t>_______________________________________________</w:t>
      </w:r>
    </w:p>
    <w:p/>
    <w:p>
      <w:pPr>
        <w:jc w:val="center"/>
      </w:pPr>
      <w:r>
        <w:rPr>
          <w:b/>
        </w:rPr>
        <w:t>HOUSE BILL 1330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Harris, Jinkins, Valdez, Walen, and Tharinger</w:t>
      </w:r>
    </w:p>
    <w:p/>
    <w:p>
      <w:r>
        <w:rPr>
          <w:t xml:space="preserve">Read first time 01/18/19.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services provided by the office of public guardianship; and amending RCW 2.72.030.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 program as follows:</w:t>
      </w:r>
    </w:p>
    <w:p>
      <w:pPr>
        <w:spacing w:before="0" w:after="0" w:line="408" w:lineRule="exact"/>
        <w:ind w:left="0" w:right="0" w:firstLine="576"/>
        <w:jc w:val="left"/>
      </w:pPr>
      <w:r>
        <w:rPr/>
        <w:t xml:space="preserve">(1)(a) The office shall contract with public or private entities or individuals to provide public guardianship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rPr/>
        <w:t xml:space="preserve">(b) The </w:t>
      </w:r>
      <w:r>
        <w:t>((</w:t>
      </w:r>
      <w:r>
        <w:rPr>
          <w:strike/>
        </w:rPr>
        <w:t xml:space="preserve">office is exempt from RCW 39.29.008 because the</w:t>
      </w:r>
      <w:r>
        <w:t>))</w:t>
      </w:r>
      <w:r>
        <w:rPr/>
        <w:t xml:space="preserve"> primary function of the office is to contract for public guardianship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rPr/>
        <w:t xml:space="preserve">(c) Public guardianship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services can be provided. In adopting such criteria, the office may consider factors including, but not limited to, the following: Whether an incapacitated individual is at significant risk of harm from abuse, exploitation, abandonment, neglect, or self-neglect; and whether an incapacitated person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providing public guardianship services. Any public guardian providing such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w:t>
      </w:r>
      <w:r>
        <w:t>((</w:t>
      </w:r>
      <w:r>
        <w:rPr>
          <w:strike/>
        </w:rPr>
        <w:t xml:space="preserve">The office shall not authorize payment for services for any entity that is serving more than twenty incapacitated persons per certified professional guardian.</w:t>
      </w:r>
      <w:r>
        <w:t>))</w:t>
      </w:r>
      <w:r>
        <w:rPr/>
        <w:t xml:space="preserve"> </w:t>
      </w:r>
      <w:r>
        <w:rPr>
          <w:u w:val="single"/>
        </w:rPr>
        <w:t xml:space="preserve">The office shall develop and adopt a case-weighting system designed to balance the increasing need for access to guardianship services, effectively managing public guardian caseloads, and providing appropriate supports for individuals on that caseload.</w:t>
      </w:r>
    </w:p>
    <w:p>
      <w:pPr>
        <w:spacing w:before="0" w:after="0" w:line="408" w:lineRule="exact"/>
        <w:ind w:left="0" w:right="0" w:firstLine="576"/>
        <w:jc w:val="left"/>
      </w:pPr>
      <w:r>
        <w:rPr>
          <w:u w:val="single"/>
        </w:rPr>
        <w:t xml:space="preserve">(a) The standard caseload limit for an entity contracted by the office must be no more than twenty incapacitated persons per certified professional guardian. The office may authorize adjustments to the standard caseload limit on a case-by-case basis, and payment for services to an entity contracting with the office that serves more than twenty incapacitated persons per professional guardian is subject to review by the office. In evaluating caseload size, the office shall consider the expected activities, time, and demands involved, as well as the available support for each case.</w:t>
      </w:r>
    </w:p>
    <w:p>
      <w:pPr>
        <w:spacing w:before="0" w:after="0" w:line="408" w:lineRule="exact"/>
        <w:ind w:left="0" w:right="0" w:firstLine="576"/>
        <w:jc w:val="left"/>
      </w:pPr>
      <w:r>
        <w:rPr>
          <w:u w:val="single"/>
        </w:rPr>
        <w:t xml:space="preserve">(b) Caseload limits must not exceed thirty-six cases. The office shall not authorize payment for services for any entity that fails to comply with the standard caseload limit guidelines.</w:t>
      </w:r>
    </w:p>
    <w:p>
      <w:pPr>
        <w:spacing w:before="0" w:after="0" w:line="408" w:lineRule="exact"/>
        <w:ind w:left="0" w:right="0" w:firstLine="576"/>
        <w:jc w:val="left"/>
      </w:pPr>
      <w:r>
        <w:rPr>
          <w:u w:val="single"/>
        </w:rPr>
        <w:t xml:space="preserve">(c) The office shall develop case-weighting guidelines to include a process for adjusting caseload limits, relevant policies and procedures, and recommendations for changes in court rules which may be appropriate for the implementation of the system.</w:t>
      </w:r>
    </w:p>
    <w:p>
      <w:pPr>
        <w:spacing w:before="0" w:after="0" w:line="408" w:lineRule="exact"/>
        <w:ind w:left="0" w:right="0" w:firstLine="576"/>
        <w:jc w:val="left"/>
      </w:pPr>
      <w:r>
        <w:rPr>
          <w:u w:val="single"/>
        </w:rPr>
        <w:t xml:space="preserve">(d) By December 1, 2019, the office must submit to the legislature a report detailing the final case-weighting system and guidelines, and implementation progress and recommendations. The report must be made available to the public.</w:t>
      </w:r>
    </w:p>
    <w:p>
      <w:pPr>
        <w:spacing w:before="0" w:after="0" w:line="408" w:lineRule="exact"/>
        <w:ind w:left="0" w:right="0" w:firstLine="576"/>
        <w:jc w:val="left"/>
      </w:pPr>
      <w:r>
        <w:rPr>
          <w:u w:val="single"/>
        </w:rPr>
        <w:t xml:space="preserve">(e) The administrative office of the courts shall notify the superior courts of the policies contained in the final case-weighting system.</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public guardianship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office shall adopt a process for receipt and consideration of and response to complaints against the office and contracted providers of public guardianship services. The process shall include investigation in cases in which investigation appears warranted in the judgment of the administrator. </w:t>
      </w:r>
    </w:p>
    <w:p>
      <w:pPr>
        <w:spacing w:before="0" w:after="0" w:line="408" w:lineRule="exact"/>
        <w:ind w:left="0" w:right="0" w:firstLine="576"/>
        <w:jc w:val="left"/>
      </w:pPr>
      <w:r>
        <w:t>((</w:t>
      </w:r>
      <w:r>
        <w:rPr>
          <w:strike/>
        </w:rPr>
        <w:t xml:space="preserve">(13) 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t xml:space="preserve"> </w:t>
      </w:r>
      <w:r>
        <w:rPr>
          <w:u w:val="single"/>
        </w:rPr>
        <w:t xml:space="preserve">(12)</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The office shall identify training needs for guardians it contracts with, and shall make recommendations to the supreme court, the certified professional guardian board, and the legislature for improvements in guardianship training. The office may offer training to individuals providing services pursuant to this chapter or to individuals who, in the judgment of the administrator or the administrator's designee, are likely to provide such services in the future.</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The office shall establish a system for monitoring the performance of public guardians, and office staff shall make in-home visits to a randomly selected sample of public guardianship clients. The office may conduct further monitoring, including in-home visits, as the administrator deems appropriate. For monitoring purposes, office staff shall have access to any information relating to a public guardianship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
      <w:pPr>
        <w:jc w:val="center"/>
      </w:pPr>
      <w:r>
        <w:rPr>
          <w:b/>
        </w:rPr>
        <w:t>--- END ---</w:t>
      </w:r>
    </w:p>
    <w:sectPr>
      <w:pgNumType w:start="1"/>
      <w:footerReference xmlns:r="http://schemas.openxmlformats.org/officeDocument/2006/relationships" r:id="R66eae9da934349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022b32bea4c94" /><Relationship Type="http://schemas.openxmlformats.org/officeDocument/2006/relationships/footer" Target="/word/footer1.xml" Id="R66eae9da934349ce" /></Relationships>
</file>