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21b6f3a484d54" /></Relationships>
</file>

<file path=word/document.xml><?xml version="1.0" encoding="utf-8"?>
<w:document xmlns:w="http://schemas.openxmlformats.org/wordprocessingml/2006/main">
  <w:body>
    <w:p>
      <w:r>
        <w:t>H-2163.1</w:t>
      </w:r>
    </w:p>
    <w:p>
      <w:pPr>
        <w:jc w:val="center"/>
      </w:pPr>
      <w:r>
        <w:t>_______________________________________________</w:t>
      </w:r>
    </w:p>
    <w:p/>
    <w:p>
      <w:pPr>
        <w:jc w:val="center"/>
      </w:pPr>
      <w:r>
        <w:rPr>
          <w:b/>
        </w:rPr>
        <w:t>SECOND SUBSTITUTE HOUSE BILL 1257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Doglio, Tarleton, Lekanoff, Fitzgibbon, Dolan, Fey, Mead, Peterson, Kloba, Riccelli, Macri, Hudgins, Morris, Stanford, Appleton, Slatter, Tharinger, Jinkins, Pollet, and Goodman; by request of Governor Inslee)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efficiency; amending RCW 19.27A.140, 19.27A.170, 19.27A.015, 19.27A.025, and 19.27.540; adding new sections to chapter 19.27A RCW; adding a new section to chapter 82.16 RCW; adding new sections to chapter 80.28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state policy encouraging energy efficiency has been extremely successful in reducing energy use, avoiding costly investment in new generating capacity, lowering customer energy bills, and reducing air pollution and greenhouse gas emissions. The state's 2019 biennial energy report indicates that utility conservation investments under chapter 19.285 RCW, the energy independence act, now save consumers more than seven hundred fifty million dollars annually, helping to keep Washington's electricity prices among the lowest in the nation.</w:t>
      </w:r>
    </w:p>
    <w:p>
      <w:pPr>
        <w:spacing w:before="0" w:after="0" w:line="408" w:lineRule="exact"/>
        <w:ind w:left="0" w:right="0" w:firstLine="576"/>
        <w:jc w:val="left"/>
      </w:pPr>
      <w:r>
        <w:rPr/>
        <w:t xml:space="preserve">(2) Studies by the Northwest power and conservation council and by individual Washington utilities repeatedly show that efficiency is the region's largest, cheapest, lowest risk energy resource; that without it, the Northwest would have needed to invest in additional natural gas-fired generation; and that, looking ahead, efficiency can approach the size of the region's hydropower system as a regional resource. The Northwest power and conservation council forecasts that with an aggressive new energy efficiency policy, the region can potentially meet one hundred percent of its electricity load growth over the next twenty years with energy efficiency.</w:t>
      </w:r>
    </w:p>
    <w:p>
      <w:pPr>
        <w:spacing w:before="0" w:after="0" w:line="408" w:lineRule="exact"/>
        <w:ind w:left="0" w:right="0" w:firstLine="576"/>
        <w:jc w:val="left"/>
      </w:pPr>
      <w:r>
        <w:rPr/>
        <w:t xml:space="preserve">(3) Energy efficiency investments that reduce energy use in buildings bring cobenefits that directly impact Washingtonians' quality of life. These benefits include improved indoor air quality, more comfortable homes and workplaces, and lower tenant energy bills. The legislature notes that according to the United States department of energy's energy and employment report, 2017, the energy efficiency sector has created more than sixty-five thousand jobs in the state, more than two-thirds of which are in the construction sector, and that the number continues to grow.</w:t>
      </w:r>
    </w:p>
    <w:p>
      <w:pPr>
        <w:spacing w:before="0" w:after="0" w:line="408" w:lineRule="exact"/>
        <w:ind w:left="0" w:right="0" w:firstLine="576"/>
        <w:jc w:val="left"/>
      </w:pPr>
      <w:r>
        <w:rPr/>
        <w:t xml:space="preserve">(4) Considering the benefits of and the need for additional energy efficiency to meet regional energy demand, the legislature notes that attaining as much of this resource as possible from the buildings sector can have a significant effect on state greenhouse gas emissions by deferring or displacing the need for natural gas-fired electricity generation and reducing the direct use of natural gas. Buildings represent the second largest source of greenhouse gas emissions in Washington and emissions from the buildings sector have grown by fifty percent since 1990, far outpacing all other emission sources.</w:t>
      </w:r>
    </w:p>
    <w:p>
      <w:pPr>
        <w:spacing w:before="0" w:after="0" w:line="408" w:lineRule="exact"/>
        <w:ind w:left="0" w:right="0" w:firstLine="576"/>
        <w:jc w:val="left"/>
      </w:pPr>
      <w:r>
        <w:rPr/>
        <w:t xml:space="preserve">(5) The legislature therefore determines that it is in the state's interest to maximize the full potential of energy efficiency standards, retrofit incentives, utility programs, and building codes to keep energy costs low and to meet statutory goals for increased building efficiency and reduced greenhouse gas emissions.</w:t>
      </w:r>
    </w:p>
    <w:p>
      <w:pPr>
        <w:spacing w:before="0" w:after="0" w:line="408" w:lineRule="exact"/>
        <w:ind w:left="0" w:right="0" w:firstLine="576"/>
        <w:jc w:val="left"/>
      </w:pPr>
      <w:r>
        <w:rPr/>
        <w:t xml:space="preserve">(6) It is the intent of this act to provide incentives and regulations that encourage greater energy efficiency in all aspects of new and existing buildings, including building design, energy delivery, and utilization and operations. This act:</w:t>
      </w:r>
    </w:p>
    <w:p>
      <w:pPr>
        <w:spacing w:before="0" w:after="0" w:line="408" w:lineRule="exact"/>
        <w:ind w:left="0" w:right="0" w:firstLine="576"/>
        <w:jc w:val="left"/>
      </w:pPr>
      <w:r>
        <w:rPr/>
        <w:t xml:space="preserve">(a) Establishes energy performance standards for larger existing commercial buildings;</w:t>
      </w:r>
    </w:p>
    <w:p>
      <w:pPr>
        <w:spacing w:before="0" w:after="0" w:line="408" w:lineRule="exact"/>
        <w:ind w:left="0" w:right="0" w:firstLine="576"/>
        <w:jc w:val="left"/>
      </w:pPr>
      <w:r>
        <w:rPr/>
        <w:t xml:space="preserve">(b) Provides financial incentives and technical assistance for building owners taking early action to meet these standards before they are required to be met;</w:t>
      </w:r>
    </w:p>
    <w:p>
      <w:pPr>
        <w:spacing w:before="0" w:after="0" w:line="408" w:lineRule="exact"/>
        <w:ind w:left="0" w:right="0" w:firstLine="576"/>
        <w:jc w:val="left"/>
      </w:pPr>
      <w:r>
        <w:rPr/>
        <w:t xml:space="preserve">(c) Enhances access to commercial building energy consumption data in order to assist with monitoring progress toward meeting energy performance standards;</w:t>
      </w:r>
    </w:p>
    <w:p>
      <w:pPr>
        <w:spacing w:before="0" w:after="0" w:line="408" w:lineRule="exact"/>
        <w:ind w:left="0" w:right="0" w:firstLine="576"/>
        <w:jc w:val="left"/>
      </w:pPr>
      <w:r>
        <w:rPr/>
        <w:t xml:space="preserve">(d) Authorizes local governments to voluntarily adopt energy codes for residential structures that achieve even greater energy savings and greenhouse gas reductions than the minimum state energy code; and</w:t>
      </w:r>
    </w:p>
    <w:p>
      <w:pPr>
        <w:spacing w:before="0" w:after="0" w:line="408" w:lineRule="exact"/>
        <w:ind w:left="0" w:right="0" w:firstLine="576"/>
        <w:jc w:val="left"/>
      </w:pPr>
      <w:r>
        <w:rPr/>
        <w:t xml:space="preserve">(e) Establishes efficiency performance requirements for natural gas distribution companies, recognizing the significant contribution of natural gas to the state's greenhouse gas emissions, the role that natural gas plays in heating buildings and powering equipment within buildings across the state, and the greenhouse gas reduction benefits associated with substituting renewable natural gas for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weather normalized energy use intensity measured the previous year to making an application for an incentive under section 4 of this act.</w:t>
      </w:r>
    </w:p>
    <w:p>
      <w:pPr>
        <w:spacing w:before="0" w:after="0" w:line="408" w:lineRule="exact"/>
        <w:ind w:left="0" w:right="0" w:firstLine="576"/>
        <w:jc w:val="left"/>
      </w:pPr>
      <w:r>
        <w:rPr/>
        <w:t xml:space="preserve">(3) "Building owner" means an individual or entity possessing title to a building.</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building owners that demonstrate the owner has implemented energy use reduction strategies required by the standard, but has not demonstrated full compliance with the energy use intensity target.</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commercial building" means a building where the sum of nonresidential, hotel, motel, and dormitory floor areas exceeds fifty thousand gross square feet, excluding the parking garage area.</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utility or an investor-owned utility.</w:t>
      </w:r>
    </w:p>
    <w:p>
      <w:pPr>
        <w:spacing w:before="0" w:after="0" w:line="408" w:lineRule="exact"/>
        <w:ind w:left="0" w:right="0" w:firstLine="576"/>
        <w:jc w:val="left"/>
      </w:pPr>
      <w:r>
        <w:rPr/>
        <w:t xml:space="preserve">(11) "Eligible building owner" means: (a) The owner of a covered commercial building required to comply with the standard established in section 3 of this act; or (b) the owner of a multifamily residential building where the floor area exceeds fifty thousand gross square feet, excluding the parking garage area.</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net energy use intensity of a covered commercial building that has been established for the purposes of complying with the standard established under section 3 of this act.</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company owned by investors, that meets one of the definitions of RCW 80.04.010, and that is engaged in distributing electricity to more than one retail electric customer in the state.</w:t>
      </w:r>
    </w:p>
    <w:p>
      <w:pPr>
        <w:spacing w:before="0" w:after="0" w:line="408" w:lineRule="exact"/>
        <w:ind w:left="0" w:right="0" w:firstLine="576"/>
        <w:jc w:val="left"/>
      </w:pPr>
      <w:r>
        <w:rPr/>
        <w:t xml:space="preserve">(19)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"Savings-to-investment ratio" means the ratio of the present value savings to the present value costs of an energy or water conservation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commercial buildings established under section 3 of this act.</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The department must also develop energy use intensity targets for additional property types eligible for incentives in section 4 of this act.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criteria must require that a building owner adopts all energy efficiency measures required to meet the energy use intensity target, or based on a thirty year life-cycle cost analysis, the building owner must adopt an optimized bundle of energy efficiency measures that provides maximum energy savings without resulting in a savings-to-investment ratio of less than 1.0, except as exempted in (d)(ii) of this subsection. The building owner's cost for implementing energy efficiency measures must be net cost, excluding the cost covered by utility or government grants;</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twelve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fifty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fifty thousand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twenty-four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 A building owner of a covered commercial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two hundred twenty thousand gross square feet, June 1, 2026;</w:t>
      </w:r>
    </w:p>
    <w:p>
      <w:pPr>
        <w:spacing w:before="0" w:after="0" w:line="408" w:lineRule="exact"/>
        <w:ind w:left="0" w:right="0" w:firstLine="576"/>
        <w:jc w:val="left"/>
      </w:pPr>
      <w:r>
        <w:rPr/>
        <w:t xml:space="preserve">(b) For a building with more than ninety thousand gross square feet but less than two hundred twenty thousand and one gross square feet, June 1, 2027; and</w:t>
      </w:r>
    </w:p>
    <w:p>
      <w:pPr>
        <w:spacing w:before="0" w:after="0" w:line="408" w:lineRule="exact"/>
        <w:ind w:left="0" w:right="0" w:firstLine="576"/>
        <w:jc w:val="left"/>
      </w:pPr>
      <w:r>
        <w:rPr/>
        <w:t xml:space="preserve">(c) For a building with more than fifty thousand gross square feet but less than ninety thousand and one square feet, June 1, 2028.</w:t>
      </w:r>
    </w:p>
    <w:p>
      <w:pPr>
        <w:spacing w:before="0" w:after="0" w:line="408" w:lineRule="exact"/>
        <w:ind w:left="0" w:right="0" w:firstLine="576"/>
        <w:jc w:val="left"/>
      </w:pPr>
      <w:r>
        <w:rPr/>
        <w:t xml:space="preserve">(9)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(a) Failure to submit a compliance report in the form and manner prescribed by the department;</w:t>
      </w:r>
    </w:p>
    <w:p>
      <w:pPr>
        <w:spacing w:before="0" w:after="0" w:line="408" w:lineRule="exact"/>
        <w:ind w:left="0" w:right="0" w:firstLine="576"/>
        <w:jc w:val="left"/>
      </w:pPr>
      <w:r>
        <w:rPr/>
        <w:t xml:space="preserve">(b) Failure to meet an energy use intensity target or failure to receive conditional compliance approval;</w:t>
      </w:r>
    </w:p>
    <w:p>
      <w:pPr>
        <w:spacing w:before="0" w:after="0" w:line="408" w:lineRule="exact"/>
        <w:ind w:left="0" w:right="0" w:firstLine="576"/>
        <w:jc w:val="left"/>
      </w:pPr>
      <w:r>
        <w:rPr/>
        <w:t xml:space="preserve">(c) Failure to provide accurate reporting consistent with the requirements of the standard established under this section; and</w:t>
      </w:r>
    </w:p>
    <w:p>
      <w:pPr>
        <w:spacing w:before="0" w:after="0" w:line="408" w:lineRule="exact"/>
        <w:ind w:left="0" w:right="0" w:firstLine="576"/>
        <w:jc w:val="left"/>
      </w:pPr>
      <w:r>
        <w:rPr/>
        <w:t xml:space="preserve">(d) Failure to provide a valid exemption certificate.</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five thousand dollars plus an amount based on the duration of any continuing violation. The additional amount for a continuing violation may not exceed a daily amount equal to one dollar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sections 4 and 5 of this act, and any other significant information associated with the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section 3 of this act.</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section 6 of this act, to make an incentive payment to the building owner. When a building is served by more than one entity offering incentives or more than one type of fuel, incentive payments must be proportional to the energy use intensity reduction of each specific fuel provided by each entity.</w:t>
      </w:r>
    </w:p>
    <w:p>
      <w:pPr>
        <w:spacing w:before="0" w:after="0" w:line="408" w:lineRule="exact"/>
        <w:ind w:left="0" w:right="0" w:firstLine="576"/>
        <w:jc w:val="left"/>
      </w:pPr>
      <w:r>
        <w:rPr/>
        <w:t xml:space="preserve">(4) An eligible building owner may receive an incentive payment in the amounts specified in subsection (6) of this section only if the following requirements are met:</w:t>
      </w:r>
    </w:p>
    <w:p>
      <w:pPr>
        <w:spacing w:before="0" w:after="0" w:line="408" w:lineRule="exact"/>
        <w:ind w:left="0" w:right="0" w:firstLine="576"/>
        <w:jc w:val="left"/>
      </w:pPr>
      <w:r>
        <w:rPr/>
        <w:t xml:space="preserve">(a) The building is either: (i) A covered commercial building subject to the requirements of the standard established under section 3 of this act; or (ii) a multifamily residential building where the floor area exceeds fifty thousand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fifteen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covered commercial building is participating in the incentive program by administering incentive payments as provided in section 6 of this act;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(5)(a) An eligible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(i) For a building with more than two hundred twenty thousand gross square feet, beginning July 1, 2021, through June 1, 2025;</w:t>
      </w:r>
    </w:p>
    <w:p>
      <w:pPr>
        <w:spacing w:before="0" w:after="0" w:line="408" w:lineRule="exact"/>
        <w:ind w:left="0" w:right="0" w:firstLine="576"/>
        <w:jc w:val="left"/>
      </w:pPr>
      <w:r>
        <w:rPr/>
        <w:t xml:space="preserve">(ii) For a building with more than ninety thousand gross square feet but less than two hundred twenty thousand and one gross square feet, beginning July 1, 2021, through June 1, 2026; and</w:t>
      </w:r>
    </w:p>
    <w:p>
      <w:pPr>
        <w:spacing w:before="0" w:after="0" w:line="408" w:lineRule="exact"/>
        <w:ind w:left="0" w:right="0" w:firstLine="576"/>
        <w:jc w:val="left"/>
      </w:pPr>
      <w:r>
        <w:rPr/>
        <w:t xml:space="preserve">(iii) For a building with more than fifty thousand gross square feet but less than ninety thousand and one gross square feet, beginning July 1, 2021, through June 1, 2027.</w:t>
      </w:r>
    </w:p>
    <w:p>
      <w:pPr>
        <w:spacing w:before="0" w:after="0" w:line="408" w:lineRule="exact"/>
        <w:ind w:left="0" w:right="0" w:firstLine="576"/>
        <w:jc w:val="left"/>
      </w:pPr>
      <w:r>
        <w:rPr/>
        <w:t xml:space="preserve">(b) The department must review each application and determine whether the applicant is eligible for the incentive program and if funds are available for the incentive payment within the limitation established in section 5 of this act. If the department certifies an application, it must provide verification to the building owner and each entity participating as provided in section 6 of this act and providing service to the building owner.</w:t>
      </w:r>
    </w:p>
    <w:p>
      <w:pPr>
        <w:spacing w:before="0" w:after="0" w:line="408" w:lineRule="exact"/>
        <w:ind w:left="0" w:right="0" w:firstLine="576"/>
        <w:jc w:val="left"/>
      </w:pPr>
      <w:r>
        <w:rPr/>
        <w:t xml:space="preserve">(6) An eligible building owner that demonstrates early compliance with the applicable energy use intensity target under the standard established under section 3 of this act may receive a base incentive payment of eighty-five cents per gross square foot of floor area, excluding parking, unconditioned, or semiconditioned spaces.</w:t>
      </w:r>
    </w:p>
    <w:p>
      <w:pPr>
        <w:spacing w:before="0" w:after="0" w:line="408" w:lineRule="exact"/>
        <w:ind w:left="0" w:right="0" w:firstLine="576"/>
        <w:jc w:val="left"/>
      </w:pPr>
      <w:r>
        <w:rPr/>
        <w:t xml:space="preserve">(7) The incentives provided in subsection (6)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(8)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(9)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(10) By September 30, 2025, and every two years thereafter, the department must report to the appropriate committees of the legislature on the results of the incentive program under this section and may provide recommendations to improve the effectiveness of the program.</w:t>
      </w:r>
    </w:p>
    <w:p>
      <w:pPr>
        <w:spacing w:before="0" w:after="0" w:line="408" w:lineRule="exact"/>
        <w:ind w:left="0" w:right="0" w:firstLine="576"/>
        <w:jc w:val="left"/>
      </w:pPr>
      <w:r>
        <w:rPr/>
        <w:t xml:space="preserve">(11)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department may not issue a certification for an incentive application under section 4 of this act if doing so is likely to result in total incentive payments under section 4 of this act in excess of seventy-five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Each qualifying utility must administer incentive payments for the state energy performance standard early adoption incentive program established in section 4 of this act on behalf of its customers who are eligible building owners of covered commercial buildings or multifamily residential buildings, consistent with the requirements of this section. Any thermal energy company, electric utility, or gas company not otherwise required to administer incentive payments may voluntarily participate by providing notice to the department in a form and manner prescribed by the department.</w:t>
      </w:r>
    </w:p>
    <w:p>
      <w:pPr>
        <w:spacing w:before="0" w:after="0" w:line="408" w:lineRule="exact"/>
        <w:ind w:left="0" w:right="0" w:firstLine="576"/>
        <w:jc w:val="left"/>
      </w:pPr>
      <w:r>
        <w:rPr/>
        <w:t xml:space="preserve">(b) Nothing in this subsection (1) requires a qualifying utility to administer incentive payments for which the qualifying utility is not allowed a credit against taxes due in accordance with section 8 of this act.</w:t>
      </w:r>
    </w:p>
    <w:p>
      <w:pPr>
        <w:spacing w:before="0" w:after="0" w:line="408" w:lineRule="exact"/>
        <w:ind w:left="0" w:right="0" w:firstLine="576"/>
        <w:jc w:val="left"/>
      </w:pPr>
      <w:r>
        <w:rPr/>
        <w:t xml:space="preserve">(2) An entity that administers the payments for the incentive program under this section must administer the program in a manner that is consistent with the standard established and any rules adopted by the department under sections 3 and 4 of this act.</w:t>
      </w:r>
    </w:p>
    <w:p>
      <w:pPr>
        <w:spacing w:before="0" w:after="0" w:line="408" w:lineRule="exact"/>
        <w:ind w:left="0" w:right="0" w:firstLine="576"/>
        <w:jc w:val="left"/>
      </w:pPr>
      <w:r>
        <w:rPr/>
        <w:t xml:space="preserve">(3) Upon receiving notification from the department that a building owner has qualified for an incentive payment, each entity that administers incentive payments under this section must make incentive payments to its customers who are eligible building owners of covered commercial buildings or multifamily residential buildings who qualify as provided under this section and at rates specified in section 4(6) of this act. When a building is served by more than one entity administering incentive payments, incentive payments must be proportional to the energy use intensity reduction of the participating entities' fuel.</w:t>
      </w:r>
    </w:p>
    <w:p>
      <w:pPr>
        <w:spacing w:before="0" w:after="0" w:line="408" w:lineRule="exact"/>
        <w:ind w:left="0" w:right="0" w:firstLine="576"/>
        <w:jc w:val="left"/>
      </w:pPr>
      <w:r>
        <w:rPr/>
        <w:t xml:space="preserve">(4) The participation by an entity in the administration of incentive payments under this section does not relieve the entity of any obligation that may otherwise exist or be established to provide customer energy efficiency programs or incentives.</w:t>
      </w:r>
    </w:p>
    <w:p>
      <w:pPr>
        <w:spacing w:before="0" w:after="0" w:line="408" w:lineRule="exact"/>
        <w:ind w:left="0" w:right="0" w:firstLine="576"/>
        <w:jc w:val="left"/>
      </w:pPr>
      <w:r>
        <w:rPr/>
        <w:t xml:space="preserve">(5) An entity that administers the payments for the incentive program under this section is not liable for excess payments made in reliance on amounts reported by the department as due and payable as provided under section 4 of this act, if such amounts are later found to be abnormal or inaccurate due to no fault of the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8, chapter . . ., Laws of 2019 (section 8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implementation of building energy efficiency measures, as indicated in section 4 of this act.</w:t>
      </w:r>
    </w:p>
    <w:p>
      <w:pPr>
        <w:spacing w:before="0" w:after="0" w:line="408" w:lineRule="exact"/>
        <w:ind w:left="0" w:right="0" w:firstLine="576"/>
        <w:jc w:val="left"/>
      </w:pPr>
      <w:r>
        <w:rPr/>
        <w:t xml:space="preserve">(2) It is the legislature's specific public policy objective to increase energy efficiency and the use of renewable fuels that reduce the amount of greenhouse gas emissions in Washington. It is the legislature's intent to provide a credit against the taxes owing by utilities under chapter 82.16 RCW for the incentives provided for the implementation by eligible building owners of energy efficiency and renewable energy measures.</w:t>
      </w:r>
    </w:p>
    <w:p>
      <w:pPr>
        <w:spacing w:before="0" w:after="0" w:line="408" w:lineRule="exact"/>
        <w:ind w:left="0" w:right="0" w:firstLine="576"/>
        <w:jc w:val="left"/>
      </w:pPr>
      <w:r>
        <w:rPr/>
        <w:t xml:space="preserve">(3) If a review finds that measurable energy savings have increased in covered commercial buildings for which building owners are receiving an incentive payment from a qualifying utility,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number of building owners receiving an incentive payment from qualifying utilities taking the public utility tax preference under section 8 of this act, the amount of the incentive payment, and the energy use intensity reduction of the buildings as a result of the incentive program, as reported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 light and power business or a gas distribution business is allowed a credit against taxes due under this chapter in an amount equal to:</w:t>
      </w:r>
    </w:p>
    <w:p>
      <w:pPr>
        <w:spacing w:before="0" w:after="0" w:line="408" w:lineRule="exact"/>
        <w:ind w:left="0" w:right="0" w:firstLine="576"/>
        <w:jc w:val="left"/>
      </w:pPr>
      <w:r>
        <w:rPr/>
        <w:t xml:space="preserve">(a) Incentive payments made in any calendar year under section 4 of this act; and</w:t>
      </w:r>
    </w:p>
    <w:p>
      <w:pPr>
        <w:spacing w:before="0" w:after="0" w:line="408" w:lineRule="exact"/>
        <w:ind w:left="0" w:right="0" w:firstLine="576"/>
        <w:jc w:val="left"/>
      </w:pPr>
      <w:r>
        <w:rPr/>
        <w:t xml:space="preserve">(b) Documented administrative cost not to exceed eight percent of the incentive payments. </w:t>
      </w:r>
    </w:p>
    <w:p>
      <w:pPr>
        <w:spacing w:before="0" w:after="0" w:line="408" w:lineRule="exact"/>
        <w:ind w:left="0" w:right="0" w:firstLine="576"/>
        <w:jc w:val="left"/>
      </w:pPr>
      <w:r>
        <w:rPr/>
        <w:t xml:space="preserve">(2) The credit must be taken in a form and manner as required by the department.</w:t>
      </w:r>
    </w:p>
    <w:p>
      <w:pPr>
        <w:spacing w:before="0" w:after="0" w:line="408" w:lineRule="exact"/>
        <w:ind w:left="0" w:right="0" w:firstLine="576"/>
        <w:jc w:val="left"/>
      </w:pPr>
      <w:r>
        <w:rPr/>
        <w:t xml:space="preserve">(3) Credit must be claimed against taxes due under this chapter for the incentive payments made and administrative expenses incurred. Credit earned in one calendar year may not be carried backward but may be claimed against taxes due under this chapter during the same calendar year and for the following two calendar years. The credit may not exceed the tax that would otherwise be due under this chapter. Refunds may not be granted in the place of a credit.</w:t>
      </w:r>
    </w:p>
    <w:p>
      <w:pPr>
        <w:spacing w:before="0" w:after="0" w:line="408" w:lineRule="exact"/>
        <w:ind w:left="0" w:right="0" w:firstLine="576"/>
        <w:jc w:val="left"/>
      </w:pPr>
      <w:r>
        <w:rPr/>
        <w:t xml:space="preserve">(4)(a) Except as provided in (c) of this subsection, any business that has claimed credit in excess of the amount of credit the business earned under subsection (1) of this section must repay the amount of tax against which the excess credit was claimed.</w:t>
      </w:r>
    </w:p>
    <w:p>
      <w:pPr>
        <w:spacing w:before="0" w:after="0" w:line="408" w:lineRule="exact"/>
        <w:ind w:left="0" w:right="0" w:firstLine="576"/>
        <w:jc w:val="left"/>
      </w:pPr>
      <w:r>
        <w:rPr/>
        <w:t xml:space="preserve">(b) The department must assess interest on the taxes due under this subsection. Interest must be assessed at the rate provided for delinquent excise taxes under chapter 82.32 RCW, retroactively to the date the credit was claimed, and accrues until the taxes against which the credit was claimed are repaid. The department must provide written notice of the amount due under this subsection and that the amount due must be paid within thirty days of the date of the notice. The department may not impose penalties as provided in chapter 82.32 RCW on taxes due under this subsection unless the amount due is not paid in full by the due date in the notice.</w:t>
      </w:r>
    </w:p>
    <w:p>
      <w:pPr>
        <w:spacing w:before="0" w:after="0" w:line="408" w:lineRule="exact"/>
        <w:ind w:left="0" w:right="0" w:firstLine="576"/>
        <w:jc w:val="left"/>
      </w:pPr>
      <w:r>
        <w:rPr/>
        <w:t xml:space="preserve">(c) A business is not liable for excess credits claimed in reliance on amounts reported to the business by the department of commerce as due and payable as provided under section 4 of this act,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and the identity of a business that takes the credit is not confidential taxpayer information under RCW 82.32.330 and is subject to disclosure.</w:t>
      </w:r>
    </w:p>
    <w:p>
      <w:pPr>
        <w:spacing w:before="0" w:after="0" w:line="408" w:lineRule="exact"/>
        <w:ind w:left="0" w:right="0" w:firstLine="576"/>
        <w:jc w:val="left"/>
      </w:pPr>
      <w:r>
        <w:rPr/>
        <w:t xml:space="preserve">(6) This section expires June 30,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19.27A.130 through 19.27A.190 and 19.27A.020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or an equivalent tool adopted by the department of enterprise services.</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"Building owner" has the same meaning as defined in section 2 of this act.</w:t>
      </w:r>
    </w:p>
    <w:p>
      <w:pPr>
        <w:spacing w:before="0" w:after="0" w:line="408" w:lineRule="exact"/>
        <w:ind w:left="0" w:right="0" w:firstLine="576"/>
        <w:jc w:val="left"/>
      </w:pPr>
      <w:r>
        <w:rPr>
          <w:u w:val="single"/>
        </w:rPr>
        <w:t xml:space="preserve">(23) "Covered commercial building" has the same meaning as defined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2009 c 423 s 6 are each amended to read as follows:</w:t>
      </w:r>
    </w:p>
    <w:p>
      <w:pPr>
        <w:spacing w:before="0" w:after="0" w:line="408" w:lineRule="exact"/>
        <w:ind w:left="0" w:right="0" w:firstLine="576"/>
        <w:jc w:val="left"/>
      </w:pPr>
      <w:r>
        <w:rPr/>
        <w:t xml:space="preserve">(1) On and after January 1, 2010, qualifying utilities shall maintain records of the energy consumption data of all nonresidential and qualifying public agency buildings to which they provide service. This data must be maintained for at least the most recent twelve months in a format compatible for uploading to the United States environmental protection agency's energy star portfolio manager.</w:t>
      </w:r>
    </w:p>
    <w:p>
      <w:pPr>
        <w:spacing w:before="0" w:after="0" w:line="408" w:lineRule="exact"/>
        <w:ind w:left="0" w:right="0" w:firstLine="576"/>
        <w:jc w:val="left"/>
      </w:pPr>
      <w:r>
        <w:rPr/>
        <w:t xml:space="preserve">(2) On and after January 1, 2010, upon the written authorization or secure electronic authorization of a nonresidential building owner or operator, a qualifying utility shall upload the energy consumption data for the accounts specified by the owner or operator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t xml:space="preserve">(3) In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w:t>
      </w:r>
    </w:p>
    <w:p>
      <w:pPr>
        <w:spacing w:before="0" w:after="0" w:line="408" w:lineRule="exact"/>
        <w:ind w:left="0" w:right="0" w:firstLine="576"/>
        <w:jc w:val="left"/>
      </w:pPr>
      <w:r>
        <w:rPr/>
        <w:t xml:space="preserve">(4) Disclosure of nonpublic nonresidential benchmarking data and ratings required under subsection (5) of this section will be phased in as follows: </w:t>
      </w:r>
    </w:p>
    <w:p>
      <w:pPr>
        <w:spacing w:before="0" w:after="0" w:line="408" w:lineRule="exact"/>
        <w:ind w:left="0" w:right="0" w:firstLine="576"/>
        <w:jc w:val="left"/>
      </w:pPr>
      <w:r>
        <w:rPr/>
        <w:t xml:space="preserve">(a) By January 1, 2011, for buildings greater than fifty thousand square feet; and</w:t>
      </w:r>
    </w:p>
    <w:p>
      <w:pPr>
        <w:spacing w:before="0" w:after="0" w:line="408" w:lineRule="exact"/>
        <w:ind w:left="0" w:right="0" w:firstLine="576"/>
        <w:jc w:val="left"/>
      </w:pPr>
      <w:r>
        <w:rPr/>
        <w:t xml:space="preserve">(b) By January 1, 2012, for buildings greater than ten thousand square feet.</w:t>
      </w:r>
    </w:p>
    <w:p>
      <w:pPr>
        <w:spacing w:before="0" w:after="0" w:line="408" w:lineRule="exact"/>
        <w:ind w:left="0" w:right="0" w:firstLine="576"/>
        <w:jc w:val="left"/>
      </w:pPr>
      <w:r>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t xml:space="preserve">(6) Notwithstanding subsections (4) and (5) of this section, nothing in this section increases or decreases the duties, if any, of a building owner, operator, or their agent under this chapter or alters the duty of a seller, agent, or broker to disclose the existence of a material fact affecting the real property.</w:t>
      </w:r>
    </w:p>
    <w:p>
      <w:pPr>
        <w:spacing w:before="0" w:after="0" w:line="408" w:lineRule="exact"/>
        <w:ind w:left="0" w:right="0" w:firstLine="576"/>
        <w:jc w:val="left"/>
      </w:pPr>
      <w:r>
        <w:rPr>
          <w:u w:val="single"/>
        </w:rPr>
        <w:t xml:space="preserve">(7) An electric or gas utility that is not a qualifying utility must either offer the upload service specified in subsection (2) of this section or provide customers who are building owners of covered commercial buildings with consumption data in an electronic document formatted for direct upload to the United States environmental protection agency's energy star portfolio manager. Within sixty days of receiving a written or electronic request and authorization of a building owner, the utility must provide the building owner with monthly energy consumption data as required to benchmark the specified building.</w:t>
      </w:r>
    </w:p>
    <w:p>
      <w:pPr>
        <w:spacing w:before="0" w:after="0" w:line="408" w:lineRule="exact"/>
        <w:ind w:left="0" w:right="0" w:firstLine="576"/>
        <w:jc w:val="left"/>
      </w:pPr>
      <w:r>
        <w:rPr>
          <w:u w:val="single"/>
        </w:rPr>
        <w:t xml:space="preserve">(8) For any covered commercial building with three or more tenants, an electric or gas utility must, upon request of the building owner, provide the building owner with aggregated monthly energy consumption data without requiring prior consent from tenants.</w:t>
      </w:r>
    </w:p>
    <w:p>
      <w:pPr>
        <w:spacing w:before="0" w:after="0" w:line="408" w:lineRule="exact"/>
        <w:ind w:left="0" w:right="0" w:firstLine="576"/>
        <w:jc w:val="left"/>
      </w:pPr>
      <w:r>
        <w:rPr>
          <w:u w:val="single"/>
        </w:rPr>
        <w:t xml:space="preserve">(9) Each electric or gas utility must ensure that all data provided in compliance with this section does not contain personally identifiable information or customer-specific billing information about tenants of a covered commercial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Each gas company must identify and acquire all conservation measures that are available and cost-effective. Each company must establish an acquisition target every two years and must demonstrate that the target will result in the acquisition of all resources identified as available and cost-effective. The cost-effectiveness analysis required by this section must include the costs of greenhouse gas emissions established in section 15 of this act. The targets must be based on a conservation potential assessment prepared by an independent third party and approved by the commission. Conservation targets must be approved by order by the commission. The initial conservation target must take effect by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Renewable natural gas provides benefits to natural gas utility customers and to the public; and</w:t>
      </w:r>
    </w:p>
    <w:p>
      <w:pPr>
        <w:spacing w:before="0" w:after="0" w:line="408" w:lineRule="exact"/>
        <w:ind w:left="0" w:right="0" w:firstLine="576"/>
        <w:jc w:val="left"/>
      </w:pPr>
      <w:r>
        <w:rPr/>
        <w:t xml:space="preserve">(b) The development of renewable natural gas resources should be encouraged to support a smooth transition to a low carbon energy economy in Washington.</w:t>
      </w:r>
    </w:p>
    <w:p>
      <w:pPr>
        <w:spacing w:before="0" w:after="0" w:line="408" w:lineRule="exact"/>
        <w:ind w:left="0" w:right="0" w:firstLine="576"/>
        <w:jc w:val="left"/>
      </w:pPr>
      <w:r>
        <w:rPr/>
        <w:t xml:space="preserve">(2) It is the policy of the state to provide clear and reliable guidelines for gas companies that opt to supply renewable natural gas resources to serve their customers and that ensure robust ratepayer protections.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natural gas company may propose a renewable natural gas program under which the company would supply renewable natural gas for a portion of the natural gas sold or delivered to its retail customers. The renewable natural gas program is subject to review and approval by the commission. The customer charge for a renewable natural gas program may not exceed five percent of the amount charged to retail customers for natural gas.</w:t>
      </w:r>
    </w:p>
    <w:p>
      <w:pPr>
        <w:spacing w:before="0" w:after="0" w:line="408" w:lineRule="exact"/>
        <w:ind w:left="0" w:right="0" w:firstLine="576"/>
        <w:jc w:val="left"/>
      </w:pPr>
      <w:r>
        <w:rPr/>
        <w:t xml:space="preserve">(2) The environmental attributes of renewable natural gas provided under this section must be retired using procedures established by the commission and may not be used for any other purpose. The commission must approve procedures for banking and transfer of environmental attributes.</w:t>
      </w:r>
    </w:p>
    <w:p>
      <w:pPr>
        <w:spacing w:before="0" w:after="0" w:line="408" w:lineRule="exact"/>
        <w:ind w:left="0" w:right="0" w:firstLine="576"/>
        <w:jc w:val="left"/>
      </w:pPr>
      <w:r>
        <w:rPr/>
        <w:t xml:space="preserve">(3) As used in this section, "renewable natural gas" includes renewable natural gas as defined in RCW 54.04.190. The commission may approve inclusion of other sources of gas if those sources are produced without consumption of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gas company must offer by tariff a voluntary renewable natural gas service available to all customers to replace any portion of the natural gas that would otherwise be provided by the gas company. The voluntary renewable natural gas service must include delivery to the customer of all environmental attributes associated with the renewable natural gas.</w:t>
      </w:r>
    </w:p>
    <w:p>
      <w:pPr>
        <w:spacing w:before="0" w:after="0" w:line="408" w:lineRule="exact"/>
        <w:ind w:left="0" w:right="0" w:firstLine="576"/>
        <w:jc w:val="left"/>
      </w:pPr>
      <w:r>
        <w:rPr/>
        <w:t xml:space="preserve">(2) For the purposes of this section, "renewable natural gas" includes renewable natural gas as defined in RCW 54.04.190. The commission may approve inclusion of other sources of gas if those sources are produced without consumption of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section 11 of this act, the cost of greenhouse gas emissions resulting from the use of natural gas, including the effect of emissions occurring in the gathering, transmission, and distribution of natural gas to the end user is equal to the cost per metric ton of carbon dioxide emissions, using the two and one-half percent discount rate, listed in table 2, Technical Support Document: Technical update of the social cost of carbon for regulatory impact analysis under Executive Order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commission must monitor the greenhouse gas emissions resulting from natural gas and renewable natural gas delivered by each gas company to its customers, relative to a proportionate share of the state's greenhouse gas emissions reduction goal. The commission must report to the governor by January 1, 2020, and every three years thereafter, an assessment of whether the gas companies are on track to meet a proportionate share of the state's greenhouse gas emissions reduction goal. The commission may rely on reports submitted by gas companies to the United States environmental protection agency or other governmental agencies in complying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015</w:t>
      </w:r>
      <w:r>
        <w:rPr/>
        <w:t xml:space="preserve"> and 1990 c 2 s 2 are each amended to read as follows:</w:t>
      </w:r>
    </w:p>
    <w:p>
      <w:pPr>
        <w:spacing w:before="0" w:after="0" w:line="408" w:lineRule="exact"/>
        <w:ind w:left="0" w:right="0" w:firstLine="576"/>
        <w:jc w:val="left"/>
      </w:pPr>
      <w:r>
        <w:rPr/>
        <w:t xml:space="preserve">Except as provided in RCW 19.27A.020</w:t>
      </w:r>
      <w:r>
        <w:t>((</w:t>
      </w:r>
      <w:r>
        <w:rPr>
          <w:strike/>
        </w:rPr>
        <w:t xml:space="preserve">(7)</w:t>
      </w:r>
      <w:r>
        <w:t>))</w:t>
      </w:r>
      <w:r>
        <w:rPr/>
        <w:t xml:space="preserve"> </w:t>
      </w:r>
      <w:r>
        <w:rPr>
          <w:u w:val="single"/>
        </w:rPr>
        <w:t xml:space="preserve">(6)</w:t>
      </w:r>
      <w:r>
        <w:rPr/>
        <w:t xml:space="preserve">, the Washington state energy code for residential buildings shall be the </w:t>
      </w:r>
      <w:r>
        <w:t>((</w:t>
      </w:r>
      <w:r>
        <w:rPr>
          <w:strike/>
        </w:rPr>
        <w:t xml:space="preserve">maximum and</w:t>
      </w:r>
      <w:r>
        <w:t>))</w:t>
      </w:r>
      <w:r>
        <w:rPr/>
        <w:t xml:space="preserve"> minimum energy code for residential buildings in each city, town, and county and shall be enforced by each city, town, and county no later than July 1, 1991. The Washington state energy code for nonresidential buildings shall be the minimum energy code for nonresidential buildings enforced by each city, town, and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shall be the Washington state energy code, 1986 edition, as amended. The state building code council may, by rule adopted pursuant to chapter 34.05 RCW,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w:t>
      </w:r>
      <w:r>
        <w:t>((</w:t>
      </w:r>
      <w:r>
        <w:rPr>
          <w:strike/>
        </w:rPr>
        <w:t xml:space="preserve">cost-effective to building owners and tenants</w:t>
      </w:r>
      <w:r>
        <w:t>))</w:t>
      </w:r>
      <w:r>
        <w:rPr/>
        <w:t xml:space="preserve"> </w:t>
      </w:r>
      <w:r>
        <w:rPr>
          <w:u w:val="single"/>
        </w:rPr>
        <w:t xml:space="preserve">developed to yield the lowest overall cost to the building owner and occupant while meeting the energy reduction goals established under RCW 19.27A.160</w:t>
      </w:r>
      <w:r>
        <w:rPr/>
        <w:t xml:space="preserve">.</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majority vote. Substantial amendments to the code shall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540</w:t>
      </w:r>
      <w:r>
        <w:rPr/>
        <w:t xml:space="preserve"> and 2009 c 459 s 16 are each amended to read as follows:</w:t>
      </w:r>
    </w:p>
    <w:p>
      <w:pPr>
        <w:spacing w:before="0" w:after="0" w:line="408" w:lineRule="exact"/>
        <w:ind w:left="0" w:right="0" w:firstLine="576"/>
        <w:jc w:val="left"/>
      </w:pPr>
      <w:r>
        <w:rPr>
          <w:u w:val="single"/>
        </w:rPr>
        <w:t xml:space="preserve">(1)</w:t>
      </w:r>
      <w:r>
        <w:rPr/>
        <w:t xml:space="preserve"> The building code council shall adopt rules for electric vehicle infrastructure requirements. Rules adopted by the state building code council must consider applicable national and international standards and be consistent with rules adopted under RCW 19.28.281.</w:t>
      </w:r>
    </w:p>
    <w:p>
      <w:pPr>
        <w:spacing w:before="0" w:after="0" w:line="408" w:lineRule="exact"/>
        <w:ind w:left="0" w:right="0" w:firstLine="576"/>
        <w:jc w:val="left"/>
      </w:pPr>
      <w:r>
        <w:rPr>
          <w:u w:val="single"/>
        </w:rPr>
        <w:t xml:space="preserve">(2)(a) Except as provided in (b) of this subsection, the rules adopted under this section must require electric vehicle charging capability at all new buildings that provide on-site parking. Where parking is provided, the greater of one parking space or ten percent of parking spaces, rounded to the next whole number, must be provided with wiring or raceway sized to accommodate 208/240 V 40-amp or equivalent electric vehicle charging. Electrical rooms serving buildings with on-site parking must be sized to accommodate the potential for electrical equipment and distribution required to serve a minimum of fifty percent of the total parking spaces with 208/240 V 40-amp or equivalent electric vehicle charging. Load management infrastructure may be used to adjust the size and capacity of the required building electric service equipment and circuits on the customer facilities, as well as electric utility owned infrastructure, as allowed by applicable local and national electrical code. For accessible parking spaces, the greater of one parking space or ten percent of accessible parking spaces, rounded to the next whole number, must be provided with electric vehicle charging infrastructure that may also serve adjacent parking spaces not designated as accessible parking.</w:t>
      </w:r>
    </w:p>
    <w:p>
      <w:pPr>
        <w:spacing w:before="0" w:after="0" w:line="408" w:lineRule="exact"/>
        <w:ind w:left="0" w:right="0" w:firstLine="576"/>
        <w:jc w:val="left"/>
      </w:pPr>
      <w:r>
        <w:rPr>
          <w:u w:val="single"/>
        </w:rPr>
        <w:t xml:space="preserve">(b) For occupancies classified as assembly or mercantile, the requirements of this section apply only to employee parking spaces. The requirements of this section do not apply to occupancies classified as residential R-3, utility, or miscellaneous.</w:t>
      </w:r>
    </w:p>
    <w:p/>
    <w:p>
      <w:pPr>
        <w:jc w:val="center"/>
      </w:pPr>
      <w:r>
        <w:rPr>
          <w:b/>
        </w:rPr>
        <w:t>--- END ---</w:t>
      </w:r>
    </w:p>
    <w:sectPr>
      <w:pgNumType w:start="1"/>
      <w:footerReference xmlns:r="http://schemas.openxmlformats.org/officeDocument/2006/relationships" r:id="R9e288093251c46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78f7f846954037" /><Relationship Type="http://schemas.openxmlformats.org/officeDocument/2006/relationships/footer" Target="/word/footer1.xml" Id="R9e288093251c46bd" /></Relationships>
</file>