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168f5cd6754888" /></Relationships>
</file>

<file path=word/document.xml><?xml version="1.0" encoding="utf-8"?>
<w:document xmlns:w="http://schemas.openxmlformats.org/wordprocessingml/2006/main">
  <w:body>
    <w:p>
      <w:r>
        <w:t>H-0081.1</w:t>
      </w:r>
    </w:p>
    <w:p>
      <w:pPr>
        <w:jc w:val="center"/>
      </w:pPr>
      <w:r>
        <w:t>_______________________________________________</w:t>
      </w:r>
    </w:p>
    <w:p/>
    <w:p>
      <w:pPr>
        <w:jc w:val="center"/>
      </w:pPr>
      <w:r>
        <w:rPr>
          <w:b/>
        </w:rPr>
        <w:t>HOUSE BILL 1193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Lovick, Smith, Robinson, Chandler, Sells, Stanford, Ryu, Ortiz-Self, Peterson, Mead, Gregerson, Kloba, Dent, Riccelli, Orwall, Senn, Doglio, Wylie, and Eslick</w:t>
      </w:r>
    </w:p>
    <w:p/>
    <w:p>
      <w:r>
        <w:rPr>
          <w:t xml:space="preserve">Read first time 01/16/19.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calculating the benchmark rate for certain community residential services;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use the King county classification for the purposes of determining the benchmark rate in Snohomish county for community residential service businesses as defined in RCW 74.39A.009(5).</w:t>
      </w:r>
    </w:p>
    <w:p>
      <w:pPr>
        <w:spacing w:before="0" w:after="0" w:line="408" w:lineRule="exact"/>
        <w:ind w:left="0" w:right="0" w:firstLine="576"/>
        <w:jc w:val="left"/>
      </w:pPr>
      <w:r>
        <w:rPr/>
        <w:t xml:space="preserve">(2) For purposes of this section, "benchmark rate" means the rate at which direct care staff hours are paid, specific to a county 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299c10897cca4a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ca253f31e94fca" /><Relationship Type="http://schemas.openxmlformats.org/officeDocument/2006/relationships/footer" Target="/word/footer1.xml" Id="R299c10897cca4aee" /></Relationships>
</file>