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f10e01c37640fa" /></Relationships>
</file>

<file path=word/document.xml><?xml version="1.0" encoding="utf-8"?>
<w:document xmlns:w="http://schemas.openxmlformats.org/wordprocessingml/2006/main">
  <w:body>
    <w:p>
      <w:r>
        <w:t>H-1950.1</w:t>
      </w:r>
    </w:p>
    <w:p>
      <w:pPr>
        <w:jc w:val="center"/>
      </w:pPr>
      <w:r>
        <w:t>_______________________________________________</w:t>
      </w:r>
    </w:p>
    <w:p/>
    <w:p>
      <w:pPr>
        <w:jc w:val="center"/>
      </w:pPr>
      <w:r>
        <w:rPr>
          <w:b/>
        </w:rPr>
        <w:t>SUBSTITUTE HOUSE BILL 1181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Lekanoff, Pellicciotti, Leavitt, Kilduff, Reeves, Peterson, Pollet, Entenman, Doglio, Valdez, Callan, Senn, Orwall, Wylie, Jinkins, Ortiz-Self, Dolan, Sells, Lovick, Fey, Frame, Slatter, Walen, Bergquist, Tharinger, Goodman, Kloba, and Stanford)</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property tax relief for senior citizens and qualifying veterans; amending RCW 84.36.381, 84.36.383, 84.36.385, 84.38.020, 84.38.070, 84.38.130, and 84.38.150; reenacting and amending RCW 84.38.030;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2018 c 46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w:t>
      </w:r>
      <w:r>
        <w:t>((</w:t>
      </w:r>
      <w:r>
        <w:rPr>
          <w:strike/>
        </w:rPr>
        <w:t xml:space="preserve">a total disability rating for a service-connected disability</w:t>
      </w:r>
      <w:r>
        <w:t>))</w:t>
      </w:r>
      <w:r>
        <w:rPr>
          <w:u w:val="single"/>
        </w:rPr>
        <w:t xml:space="preserve">:</w:t>
      </w:r>
    </w:p>
    <w:p>
      <w:pPr>
        <w:spacing w:before="0" w:after="0" w:line="408" w:lineRule="exact"/>
        <w:ind w:left="0" w:right="0" w:firstLine="576"/>
        <w:jc w:val="left"/>
      </w:pPr>
      <w:r>
        <w:rPr>
          <w:u w:val="single"/>
        </w:rPr>
        <w:t xml:space="preserve">(A) A combined service-connected evaluation rating of eighty percent or higher; or</w:t>
      </w:r>
    </w:p>
    <w:p>
      <w:pPr>
        <w:spacing w:before="0" w:after="0" w:line="408" w:lineRule="exact"/>
        <w:ind w:left="0" w:right="0" w:firstLine="576"/>
        <w:jc w:val="left"/>
      </w:pPr>
      <w:r>
        <w:rPr>
          <w:u w:val="single"/>
        </w:rPr>
        <w:t xml:space="preserve">(B) A total disability rating for a service-connected disability without regard to evaluation percent</w:t>
      </w:r>
      <w:r>
        <w:rPr/>
        <w:t xml:space="preserve">.</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(9) "Income threshold 2"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(10) "Income threshold 3"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on August 1, 2019, and by March 1st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r>
        <w:t>))</w:t>
      </w:r>
      <w:r>
        <w:rPr/>
        <w:t xml:space="preserve"> </w:t>
      </w:r>
      <w:r>
        <w:rPr>
          <w:u w:val="single"/>
        </w:rPr>
        <w:t xml:space="preserve">"Devisee"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 (4) </w:t>
      </w:r>
      <w:r>
        <w:rPr>
          <w:u w:val="single"/>
        </w:rPr>
        <w:t xml:space="preserve">"Heir" has the same meaning as provided in RCW 21.35.005.</w:t>
      </w:r>
    </w:p>
    <w:p>
      <w:pPr>
        <w:spacing w:before="0" w:after="0" w:line="408" w:lineRule="exact"/>
        <w:ind w:left="0" w:right="0" w:firstLine="576"/>
        <w:jc w:val="left"/>
      </w:pPr>
      <w:r>
        <w:rPr>
          <w:u w:val="single"/>
        </w:rPr>
        <w:t xml:space="preserve">(5) "Income threshold" means a combined disposable income equal to the greater of the "income threshold" for the previous year, or seventy-five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(6)</w:t>
      </w:r>
      <w:r>
        <w:rPr/>
        <w:t xml:space="preserve">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"Real property taxes" means ad valorem property taxes levied on a residence in this state in the preceding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"Residence" has the meaning given in RCW 84.36.383.</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a person who was receiving a deferral at the time of the person's death qualifies if the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070</w:t>
      </w:r>
      <w:r>
        <w:rPr/>
        <w:t xml:space="preserve"> and 2008 c 6 s 703 are each amended to read as follows:</w:t>
      </w:r>
    </w:p>
    <w:p>
      <w:pPr>
        <w:spacing w:before="0" w:after="0" w:line="408" w:lineRule="exact"/>
        <w:ind w:left="0" w:right="0" w:firstLine="576"/>
        <w:jc w:val="left"/>
      </w:pPr>
      <w:r>
        <w:rPr/>
        <w:t xml:space="preserve">If the claimant declaring his or her intention to defer special assessments or real property tax obligations under this chapter ceases to reside permanently on the property for which the declaration to defer is made between the date of filing the declaration and December 15th of that year, the deferral otherwise allowable under this chapter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on such tax roll. However, this section </w:t>
      </w:r>
      <w:r>
        <w:t>((</w:t>
      </w:r>
      <w:r>
        <w:rPr>
          <w:strike/>
        </w:rPr>
        <w:t xml:space="preserve">shall</w:t>
      </w:r>
      <w:r>
        <w:t>))</w:t>
      </w:r>
      <w:r>
        <w:rPr/>
        <w:t xml:space="preserve"> </w:t>
      </w:r>
      <w:r>
        <w:rPr>
          <w:u w:val="single"/>
        </w:rPr>
        <w:t xml:space="preserve">does</w:t>
      </w:r>
      <w:r>
        <w:rPr/>
        <w:t xml:space="preserve"> not apply where the claimant dies, leaving a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surviving, who is also eligible for deferral of special assessment and/or property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130</w:t>
      </w:r>
      <w:r>
        <w:rPr/>
        <w:t xml:space="preserve"> and 2008 c 6 s 704 are each amended to read as follows:</w:t>
      </w:r>
    </w:p>
    <w:p>
      <w:pPr>
        <w:spacing w:before="0" w:after="0" w:line="408" w:lineRule="exact"/>
        <w:ind w:left="0" w:right="0" w:firstLine="576"/>
        <w:jc w:val="left"/>
      </w:pPr>
      <w:r>
        <w:rPr/>
        <w:t xml:space="preserve">Special assessments and/or real property tax obligations deferred under this chapter </w:t>
      </w:r>
      <w:r>
        <w:t>((</w:t>
      </w:r>
      <w:r>
        <w:rPr>
          <w:strike/>
        </w:rPr>
        <w:t xml:space="preserve">shall</w:t>
      </w:r>
      <w:r>
        <w:t>))</w:t>
      </w:r>
      <w:r>
        <w:rPr/>
        <w:t xml:space="preserve"> become payable together with interest as provided in RCW 84.38.100:</w:t>
      </w:r>
    </w:p>
    <w:p>
      <w:pPr>
        <w:spacing w:before="0" w:after="0" w:line="408" w:lineRule="exact"/>
        <w:ind w:left="0" w:right="0" w:firstLine="576"/>
        <w:jc w:val="left"/>
      </w:pPr>
      <w:r>
        <w:rPr/>
        <w:t xml:space="preserve">(1) Upon the sale of property which has a deferred special assessment and/or real property tax lien upon it.</w:t>
      </w:r>
    </w:p>
    <w:p>
      <w:pPr>
        <w:spacing w:before="0" w:after="0" w:line="408" w:lineRule="exact"/>
        <w:ind w:left="0" w:right="0" w:firstLine="576"/>
        <w:jc w:val="left"/>
      </w:pPr>
      <w:r>
        <w:rPr/>
        <w:t xml:space="preserve">(2) Upon the death of the claimant with an outstanding deferred special assessment and/or real property tax lien except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who is qualified under this chapter may elect to incur the special assessment and/or real property tax lien which shall then be payable by that spouse or that domestic partner as provided in this section.</w:t>
      </w:r>
    </w:p>
    <w:p>
      <w:pPr>
        <w:spacing w:before="0" w:after="0" w:line="408" w:lineRule="exact"/>
        <w:ind w:left="0" w:right="0" w:firstLine="576"/>
        <w:jc w:val="left"/>
      </w:pPr>
      <w:r>
        <w:rPr/>
        <w:t xml:space="preserve">(3) Upon the condemnation of property with a deferred special assessment and/or real property tax lien upon it by a public or private body exercising eminent domain power, except as otherwise provided in RCW 84.60.070.</w:t>
      </w:r>
    </w:p>
    <w:p>
      <w:pPr>
        <w:spacing w:before="0" w:after="0" w:line="408" w:lineRule="exact"/>
        <w:ind w:left="0" w:right="0" w:firstLine="576"/>
        <w:jc w:val="left"/>
      </w:pPr>
      <w:r>
        <w:rPr/>
        <w:t xml:space="preserve">(4) At such time as the claimant ceases to reside permanently in the residence upon which the deferral has been granted.</w:t>
      </w:r>
    </w:p>
    <w:p>
      <w:pPr>
        <w:spacing w:before="0" w:after="0" w:line="408" w:lineRule="exact"/>
        <w:ind w:left="0" w:right="0" w:firstLine="576"/>
        <w:jc w:val="left"/>
      </w:pPr>
      <w:r>
        <w:rPr/>
        <w:t xml:space="preserve">(5) Upon the failure of any condition set forth in RCW 84.38.030.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150</w:t>
      </w:r>
      <w:r>
        <w:rPr/>
        <w:t xml:space="preserve"> and 2008 c 6 s 705 are each amended to read as follows:</w:t>
      </w:r>
    </w:p>
    <w:p>
      <w:pPr>
        <w:spacing w:before="0" w:after="0" w:line="408" w:lineRule="exact"/>
        <w:ind w:left="0" w:right="0" w:firstLine="576"/>
        <w:jc w:val="left"/>
      </w:pPr>
      <w:r>
        <w:rPr/>
        <w:t xml:space="preserve">(1)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the claimant may elect to continue the property in its deferred tax status if the property is the residence of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of the claimant and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meets the requirements of this chapter.</w:t>
      </w:r>
    </w:p>
    <w:p>
      <w:pPr>
        <w:spacing w:before="0" w:after="0" w:line="408" w:lineRule="exact"/>
        <w:ind w:left="0" w:right="0" w:firstLine="576"/>
        <w:jc w:val="left"/>
      </w:pPr>
      <w:r>
        <w:rPr/>
        <w:t xml:space="preserve">(2) The election under this section to continue the property in its deferred status by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w:t>
      </w:r>
      <w:r>
        <w:t>((</w:t>
      </w:r>
      <w:r>
        <w:rPr>
          <w:strike/>
        </w:rPr>
        <w:t xml:space="preserve">shall</w:t>
      </w:r>
      <w:r>
        <w:t>))</w:t>
      </w:r>
      <w:r>
        <w:rPr/>
        <w:t xml:space="preserve"> </w:t>
      </w:r>
      <w:r>
        <w:rPr>
          <w:u w:val="single"/>
        </w:rPr>
        <w:t xml:space="preserve">must</w:t>
      </w:r>
      <w:r>
        <w:rPr/>
        <w:t xml:space="preserve"> be filed in the same manner as an original claim for deferral is filed under this chapter</w:t>
      </w:r>
      <w:r>
        <w:t>((</w:t>
      </w:r>
      <w:r>
        <w:rPr>
          <w:strike/>
        </w:rPr>
        <w:t xml:space="preserve">, not later than ninety days from the date of the claimant's death</w:t>
      </w:r>
      <w:r>
        <w:t>))</w:t>
      </w:r>
      <w:r>
        <w:rPr/>
        <w:t xml:space="preserve">. Thereupon, the property with respect to which the deferral of special assessments and/or real property taxes is claimed </w:t>
      </w:r>
      <w:r>
        <w:t>((</w:t>
      </w:r>
      <w:r>
        <w:rPr>
          <w:strike/>
        </w:rPr>
        <w:t xml:space="preserve">shall</w:t>
      </w:r>
      <w:r>
        <w:t>))</w:t>
      </w:r>
      <w:r>
        <w:rPr/>
        <w:t xml:space="preserve"> </w:t>
      </w:r>
      <w:r>
        <w:rPr>
          <w:u w:val="single"/>
        </w:rPr>
        <w:t xml:space="preserve">must</w:t>
      </w:r>
      <w:r>
        <w:rPr/>
        <w:t xml:space="preserve"> continue to be treated as deferred property. When the property has been continued in its deferred status by the filing of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of an election under this section,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may continue the property in its deferred status in subsequent years by filing a claim under this chapter so long as the spouse or the domestic partner meets the qualifications set out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d106191433047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5971e89958446b" /><Relationship Type="http://schemas.openxmlformats.org/officeDocument/2006/relationships/footer" Target="/word/footer1.xml" Id="R9d106191433047ae" /></Relationships>
</file>