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39fbc6ff948e6" /></Relationships>
</file>

<file path=word/document.xml><?xml version="1.0" encoding="utf-8"?>
<w:document xmlns:w="http://schemas.openxmlformats.org/wordprocessingml/2006/main">
  <w:body>
    <w:p>
      <w:r>
        <w:t>H-2521.1</w:t>
      </w:r>
    </w:p>
    <w:p>
      <w:pPr>
        <w:jc w:val="center"/>
      </w:pPr>
      <w:r>
        <w:t>_______________________________________________</w:t>
      </w:r>
    </w:p>
    <w:p/>
    <w:p>
      <w:pPr>
        <w:jc w:val="center"/>
      </w:pPr>
      <w:r>
        <w:rPr>
          <w:b/>
        </w:rPr>
        <w:t>SUBSTITUTE HOUSE BILL 1101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Capital Budget (originally sponsored by Representative Tharinger; by request of Office of Financial Management)</w:t>
      </w:r>
    </w:p>
    <w:p/>
    <w:p>
      <w:r>
        <w:rPr>
          <w:t xml:space="preserve">READ FIRST TIME 04/02/19.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adding new sections to chapter 43.100A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and 2019-2021 fiscal biennia, and all costs incidental thereto, the state finance committee is authorized to issue general obligation bonds of the state of Washington in the sum of three billion two hundred seven million three hundred fifty-six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Three billion twenty-seven million three hundred ninety thousand dollars to remain in the state building construction account created by RCW 43.83.020;</w:t>
      </w:r>
    </w:p>
    <w:p>
      <w:pPr>
        <w:spacing w:before="0" w:after="0" w:line="408" w:lineRule="exact"/>
        <w:ind w:left="0" w:right="0" w:firstLine="576"/>
        <w:jc w:val="left"/>
      </w:pPr>
      <w:r>
        <w:rPr/>
        <w:t xml:space="preserve">(b) One hundred seventy-nine million nine hundred sixty-six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(2)(a)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treasurer shall transfer bond proceeds deposited in the state taxable building construction account into the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a361935c3d74e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764f7ac2ae44aa" /><Relationship Type="http://schemas.openxmlformats.org/officeDocument/2006/relationships/footer" Target="/word/footer1.xml" Id="R0a361935c3d74ed5" /></Relationships>
</file>