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dd7b640934d4b" /></Relationships>
</file>

<file path=word/document.xml><?xml version="1.0" encoding="utf-8"?>
<w:document xmlns:w="http://schemas.openxmlformats.org/wordprocessingml/2006/main">
  <w:body>
    <w:p>
      <w:r>
        <w:t>H-0586.1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1098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Representatives Walsh, Blake, Kraft, Shea, Van Werven, and Young</w:t>
      </w:r>
    </w:p>
    <w:p/>
    <w:p>
      <w:r>
        <w:rPr>
          <w:t xml:space="preserve">Prefiled 01/09/19.</w:t>
        </w:rPr>
      </w:r>
      <w:r>
        <w:rPr>
          <w:t xml:space="preserve">Read first time 01/14/19.  </w:t>
        </w:rPr>
      </w:r>
      <w:r>
        <w:rPr>
          <w:t xml:space="preserve">Referred to Committee on Civil Rights &amp; Judiciary.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revising requirements and penalties relating to the unsafe storage of firearms; and repealing RCW 9.41.360 and 9.41.365.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>(1)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41</w:t>
      </w:r>
      <w:r>
        <w:rPr/>
        <w:t xml:space="preserve">.</w:t>
      </w:r>
      <w:r>
        <w:t xml:space="preserve">360</w:t>
      </w:r>
      <w:r>
        <w:rPr/>
        <w:t xml:space="preserve"> (Unsafe storage of a firearm) and 2019 c 3 s 5 (Initiative Measure No. 1639, approved November 6, 2018); and</w:t>
      </w:r>
    </w:p>
    <w:p>
      <w:pPr>
        <w:spacing w:before="0" w:after="0" w:line="408" w:lineRule="exact"/>
        <w:ind w:left="0" w:right="0" w:firstLine="576"/>
        <w:jc w:val="left"/>
      </w:pPr>
      <w:r>
        <w:t>(2)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41</w:t>
      </w:r>
      <w:r>
        <w:rPr/>
        <w:t xml:space="preserve">.</w:t>
      </w:r>
      <w:r>
        <w:t xml:space="preserve">365</w:t>
      </w:r>
      <w:r>
        <w:rPr/>
        <w:t xml:space="preserve"> (Firearm security and storage</w:t>
      </w:r>
      <w:r>
        <w:rPr>
          <w:rFonts w:ascii="Times New Roman" w:hAnsi="Times New Roman"/>
        </w:rPr>
        <w:t xml:space="preserve">—</w:t>
      </w:r>
      <w:r>
        <w:rPr/>
        <w:t xml:space="preserve">Requirements for dealers) and 2019 c 3 s 6 (Initiative Measure No. 1639, approved November 6, 2018).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f5c2b666dd94a6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1098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7fb9506e24ddd" /><Relationship Type="http://schemas.openxmlformats.org/officeDocument/2006/relationships/footer" Target="/word/footer1.xml" Id="R4f5c2b666dd94a65" /></Relationships>
</file>