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c84bcd4174651" /></Relationships>
</file>

<file path=word/document.xml><?xml version="1.0" encoding="utf-8"?>
<w:document xmlns:w="http://schemas.openxmlformats.org/wordprocessingml/2006/main">
  <w:body>
    <w:p>
      <w:r>
        <w:t>H-2128.1</w:t>
      </w:r>
    </w:p>
    <w:p>
      <w:pPr>
        <w:jc w:val="center"/>
      </w:pPr>
      <w:r>
        <w:t>_______________________________________________</w:t>
      </w:r>
    </w:p>
    <w:p/>
    <w:p>
      <w:pPr>
        <w:jc w:val="center"/>
      </w:pPr>
      <w:r>
        <w:rPr>
          <w:b/>
        </w:rPr>
        <w:t>SECOND SUBSTITUTE HOUSE BILL 1059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Van Werven, Kraft, Kilduff, Chambers, Eslick, Vick, and Leavitt)</w:t>
      </w:r>
    </w:p>
    <w:p/>
    <w:p>
      <w:r>
        <w:rPr>
          <w:t xml:space="preserve">READ FIRST TIME 02/28/19.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return filing due date for annual filers; amending RCW 82.32.045 and 35.102.070;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filing of an annual excise tax return by January 31st can be a hardship for those many taxpayers, including self-employed taxpayers, who must wait to receive a 1099 form. Therefore, some state taxpayers do not receive the information they need to accurately file their taxes until on or shortly after the current state filing deadline. The legislature finds that it is an unnecessary burden on taxpayers, and an inefficient use of state time and resources, to require them to file their return under the current timeline using the best information available to them and then subsequently amend their return at a later date. The legislature intends to address this by extending the deadline for taxpayers who qualify to be annual filers.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w:t>
      </w:r>
      <w:r>
        <w:rPr>
          <w:u w:val="single"/>
        </w:rPr>
        <w:t xml:space="preserve">Except as provided in subsection (3) of this section, f</w:t>
      </w:r>
      <w:r>
        <w:rPr/>
        <w:t xml:space="preserve">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w:t>
      </w:r>
      <w:r>
        <w:rPr>
          <w:u w:val="single"/>
        </w:rPr>
        <w:t xml:space="preserve">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u w:val="single"/>
        </w:rPr>
        <w:t xml:space="preserve">(4)</w:t>
      </w:r>
      <w:r>
        <w:rPr/>
        <w:t xml:space="preserve">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subsections (1) and (2) of this section, the department may relieve any person of the requirement to file returns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p>
    <w:p>
      <w:pPr>
        <w:spacing w:before="0" w:after="0" w:line="408" w:lineRule="exact"/>
        <w:ind w:left="0" w:right="0" w:firstLine="576"/>
        <w:jc w:val="left"/>
      </w:pPr>
      <w:r>
        <w:rPr/>
        <w:t xml:space="preserve">(i) Twenty-eight thousand dollars per year; or</w:t>
      </w:r>
    </w:p>
    <w:p>
      <w:pPr>
        <w:spacing w:before="0" w:after="0" w:line="408" w:lineRule="exact"/>
        <w:ind w:left="0" w:right="0" w:firstLine="576"/>
        <w:jc w:val="left"/>
      </w:pPr>
      <w:r>
        <w:rPr/>
        <w:t xml:space="preserve">(ii) Forty-six thousand six hundred sixty-seven dollars per year for persons generating at least fifty percent of their taxable amount from activities taxable under RCW 82.04.255, 82.04.290(2)(a), and 82.04.285;</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070</w:t>
      </w:r>
      <w:r>
        <w:rPr/>
        <w:t xml:space="preserve"> and 2003 c 79 s 7 are each amended to read as follows:</w:t>
      </w:r>
    </w:p>
    <w:p>
      <w:pPr>
        <w:spacing w:before="0" w:after="0" w:line="408" w:lineRule="exact"/>
        <w:ind w:left="0" w:right="0" w:firstLine="576"/>
        <w:jc w:val="left"/>
      </w:pPr>
      <w:r>
        <w:rPr/>
        <w:t xml:space="preserve">A city that imposes a business and occupation tax </w:t>
      </w:r>
      <w:r>
        <w:t>((</w:t>
      </w:r>
      <w:r>
        <w:rPr>
          <w:strike/>
        </w:rPr>
        <w:t xml:space="preserve">shall</w:t>
      </w:r>
      <w:r>
        <w:t>))</w:t>
      </w:r>
      <w:r>
        <w:rPr/>
        <w:t xml:space="preserve"> </w:t>
      </w:r>
      <w:r>
        <w:rPr>
          <w:u w:val="single"/>
        </w:rPr>
        <w:t xml:space="preserve">must</w:t>
      </w:r>
      <w:r>
        <w:rPr/>
        <w:t xml:space="preserve"> allow reporting and payment of tax on a monthly, quarterly, or annual basis. The frequency for any particular person may be assigned at the discretion of the city, except that monthly reporting may be assigned only if it can be demonstrated that the taxpayer is remitting excise tax to the state on a monthly basis. For persons assigned a monthly frequency, payment is due within the same time period provided for monthly taxpayers under RCW 82.32.045. For persons assigned a quarterly or annual frequency, payment is due within the same time period as provided for quarterly or annual frequency under RCW 82.32.045. </w:t>
      </w:r>
      <w:r>
        <w:rPr>
          <w:u w:val="single"/>
        </w:rPr>
        <w:t xml:space="preserve">Until December 31, 2020, for persons assigned annual frequency, payment is due on or before the last day of the month next succeeding the end of the period covered by the return. Beginning January 1, 2021, and thereafter, for persons assigned annual frequency, payment is due within the same time period as provided for annual frequency under RCW 82.32.045.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fc46e88aa8784d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db7b9d513f4a9f" /><Relationship Type="http://schemas.openxmlformats.org/officeDocument/2006/relationships/footer" Target="/word/footer1.xml" Id="Rfc46e88aa8784ded" /></Relationships>
</file>