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1ab3a67da742ea" /></Relationships>
</file>

<file path=word/document.xml><?xml version="1.0" encoding="utf-8"?>
<w:document xmlns:w="http://schemas.openxmlformats.org/wordprocessingml/2006/main">
  <w:body>
    <w:p>
      <w:r>
        <w:t>H-0074.1</w:t>
      </w:r>
    </w:p>
    <w:p>
      <w:pPr>
        <w:jc w:val="center"/>
      </w:pPr>
      <w:r>
        <w:t>_______________________________________________</w:t>
      </w:r>
    </w:p>
    <w:p/>
    <w:p>
      <w:pPr>
        <w:jc w:val="center"/>
      </w:pPr>
      <w:r>
        <w:rPr>
          <w:b/>
        </w:rPr>
        <w:t>HOUSE BILL 1036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 Walsh</w:t>
      </w:r>
    </w:p>
    <w:p/>
    <w:p>
      <w:r>
        <w:rPr>
          <w:t xml:space="preserve">Prefiled 12/10/18.</w:t>
        </w:rPr>
      </w:r>
      <w:r>
        <w:rPr>
          <w:t xml:space="preserve">Read first time 01/14/19.  </w:t>
        </w:rPr>
      </w:r>
      <w:r>
        <w:rPr>
          <w:t xml:space="preserve">Referred to Committee on Rural Development,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increased fish hatchery production; adding a new section to chapter 77.95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The department shall ensure that hatcheries in Grays Harbor, Pacific, and Wahkiakum counties each produce an annual number of fish that is equal to or greater than the annual average number of fish the hatchery produced over the past twenty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Willapa Bay salmon restoration act.</w:t>
      </w:r>
    </w:p>
    <w:p/>
    <w:p>
      <w:pPr>
        <w:jc w:val="center"/>
      </w:pPr>
      <w:r>
        <w:rPr>
          <w:b/>
        </w:rPr>
        <w:t>--- END ---</w:t>
      </w:r>
    </w:p>
    <w:sectPr>
      <w:pgNumType w:start="1"/>
      <w:footerReference xmlns:r="http://schemas.openxmlformats.org/officeDocument/2006/relationships" r:id="R2ab49f218555465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9dc3e4a070473c" /><Relationship Type="http://schemas.openxmlformats.org/officeDocument/2006/relationships/footer" Target="/word/footer1.xml" Id="R2ab49f218555465a" /></Relationships>
</file>