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ea4db74936463f" /></Relationships>
</file>

<file path=word/document.xml><?xml version="1.0" encoding="utf-8"?>
<w:document xmlns:w="http://schemas.openxmlformats.org/wordprocessingml/2006/main">
  <w:body>
    <w:p>
      <w:r>
        <w:t>H-0223.1</w:t>
      </w:r>
    </w:p>
    <w:p>
      <w:pPr>
        <w:jc w:val="center"/>
      </w:pPr>
      <w:r>
        <w:t>_______________________________________________</w:t>
      </w:r>
    </w:p>
    <w:p/>
    <w:p>
      <w:pPr>
        <w:jc w:val="center"/>
      </w:pPr>
      <w:r>
        <w:rPr>
          <w:b/>
        </w:rPr>
        <w:t>HOUSE BILL 1011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Reeves, Barkis, Kilduff, Vick, Ryu, Fitzgibbon, Stanford, and Leavitt</w:t>
      </w:r>
    </w:p>
    <w:p/>
    <w:p>
      <w:r>
        <w:rPr>
          <w:t xml:space="preserve">Prefiled 12/05/18.</w:t>
        </w:rPr>
      </w:r>
      <w:r>
        <w:rPr>
          <w:t xml:space="preserve">Read first time 01/14/19.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accuracy of the residential real estate disclosure statement associated with the Washington right to farm act by providing a more complete description of the scope of RCW 7.48.305 through references related to working forests; amending RCW 64.06.022;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maintaining the ecological and economic benefits of Washington's working forests is a critical part of planning for a fast-growing population and a changing climate. Sustainable, thriving working forests offer multiple benefits to the state, including clean water and air, fish and wildlife habitat, carbon storage, areas of open space and green amidst constant development pressures, and a strong economic base for rural jobs and statewide economic diversity.</w:t>
      </w:r>
    </w:p>
    <w:p>
      <w:pPr>
        <w:spacing w:before="0" w:after="0" w:line="408" w:lineRule="exact"/>
        <w:ind w:left="0" w:right="0" w:firstLine="576"/>
        <w:jc w:val="left"/>
      </w:pPr>
      <w:r>
        <w:rPr/>
        <w:t xml:space="preserve">(2) The legislature further finds that RCW 7.48.305, also known as the Washington right to farm act, provides certain protections from nuisance lawsuits arising from standard agricultural and forest practices. However, the mandatory real estate disclosure statement that provides residential home purchasers with notice of the right to farm act expressly notifies home buyers of the law's protections for nearby agricultural operations but fails to provide that same notice for nearby forestry operations.</w:t>
      </w:r>
    </w:p>
    <w:p>
      <w:pPr>
        <w:spacing w:before="0" w:after="0" w:line="408" w:lineRule="exact"/>
        <w:ind w:left="0" w:right="0" w:firstLine="576"/>
        <w:jc w:val="left"/>
      </w:pPr>
      <w:r>
        <w:rPr/>
        <w:t xml:space="preserve">(3) The legislature further finds that modifying the real estate disclosure statement relating to the right to farm act to include working forests gives home buyers a more accurate description of the effect of the right to farm act and Washington's science-based forest practices regulations that protect the state's public resources. This is important as population growth encroaches into forestland and brings residential land uses into areas historically dominated by commercial forestry.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022</w:t>
      </w:r>
      <w:r>
        <w:rPr/>
        <w:t xml:space="preserve"> and 2010 c 64 s 4 are each amended to read as follows:</w:t>
      </w:r>
    </w:p>
    <w:p>
      <w:pPr>
        <w:spacing w:before="0" w:after="0" w:line="408" w:lineRule="exact"/>
        <w:ind w:left="0" w:right="0" w:firstLine="576"/>
        <w:jc w:val="left"/>
      </w:pPr>
      <w:r>
        <w:rPr/>
        <w:t xml:space="preserve">A seller of residential real property shall make available to the buyer the following statement: "This notice is to inform you that the real property you are considering for purchase may lie in close proximity to a farm </w:t>
      </w:r>
      <w:r>
        <w:rPr>
          <w:u w:val="single"/>
        </w:rPr>
        <w:t xml:space="preserve">or working forest</w:t>
      </w:r>
      <w:r>
        <w:rPr/>
        <w:t xml:space="preserve">. The operation of a farm </w:t>
      </w:r>
      <w:r>
        <w:rPr>
          <w:u w:val="single"/>
        </w:rPr>
        <w:t xml:space="preserve">or working forest</w:t>
      </w:r>
      <w:r>
        <w:rPr/>
        <w:t xml:space="preserve"> involves usual and customary agricultural practices </w:t>
      </w:r>
      <w:r>
        <w:rPr>
          <w:u w:val="single"/>
        </w:rPr>
        <w:t xml:space="preserve">or forest practices</w:t>
      </w:r>
      <w:r>
        <w:rPr/>
        <w:t xml:space="preserve">, which are protected under RCW 7.48.305, the Washington right to farm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sales of property that arise on or after January 1, 2020.</w:t>
      </w:r>
    </w:p>
    <w:p/>
    <w:p>
      <w:pPr>
        <w:jc w:val="center"/>
      </w:pPr>
      <w:r>
        <w:rPr>
          <w:b/>
        </w:rPr>
        <w:t>--- END ---</w:t>
      </w:r>
    </w:p>
    <w:sectPr>
      <w:pgNumType w:start="1"/>
      <w:footerReference xmlns:r="http://schemas.openxmlformats.org/officeDocument/2006/relationships" r:id="R6be9262366a146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5542b39e9d4c1a" /><Relationship Type="http://schemas.openxmlformats.org/officeDocument/2006/relationships/footer" Target="/word/footer1.xml" Id="R6be9262366a14608" /></Relationships>
</file>