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0cb4e784646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6690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S7672.2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6690</w:t>
      </w:r>
      <w:r>
        <w:t xml:space="preserve"> -</w:t>
      </w:r>
      <w:r>
        <w:t xml:space="preserve"> </w:t>
        <w:t xml:space="preserve">S AMD TO S AMD (S-7654.1/20)</w:t>
      </w:r>
      <w:r>
        <w:t xml:space="preserve"> </w:t>
      </w:r>
      <w:r>
        <w:rPr>
          <w:b/>
        </w:rPr>
        <w:t xml:space="preserve">1372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03/10/2020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One page 2, line 15, after "either" strike "0.2904" and insert "0.357"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29,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4, strike "</w:t>
      </w:r>
      <w:r>
        <w:rPr>
          <w:u w:val="single"/>
        </w:rPr>
        <w:t xml:space="preserve">will achieve</w:t>
      </w:r>
      <w:r>
        <w:rPr/>
        <w:t xml:space="preserve">" and insert "</w:t>
      </w:r>
      <w:r>
        <w:rPr>
          <w:u w:val="single"/>
        </w:rPr>
        <w:t xml:space="preserve">are subject to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17, after "RCW 82.04.260(11)(e)" strike "will achieve" and insert "is subject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24, after "manufacturer," strike "will achieve" and insert "is subject to"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language authorizing the preferential rate only if the United States trade representative provides written notice expressly specifying the allowance of such preferential rate under a WTO dispute resolution agreement. Clarifies intent with respect to the achievement of apprenticeship utilization rates. Makes a technical correction.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a4b62fcd4678" /></Relationships>
</file>