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3823a15bb41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S4564.1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6004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PULLED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 beginning on line 33, strike all of subsection (5)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"(5) Upon every person engaging within this state in the business of acting as a travel agent or tour operator </w:t>
      </w:r>
      <w:r>
        <w:rPr>
          <w:u w:val="single"/>
        </w:rPr>
        <w:t xml:space="preserve">and whose annual taxable amount for the prior calendar year was two hundred fifty thousand dollars or less</w:t>
      </w:r>
      <w:r>
        <w:rPr/>
        <w:t xml:space="preserve">; as to such persons the amount of the tax with respect to such activities is equal to the gross income derived from such activities multiplied by the rate of 0.275 percent."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Maintains the preferential business and occupation tax rate for travel agents and tour operators whose annual gross income is two hundred fifty thousand dollars or less.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6f69e3b34d61" /></Relationships>
</file>