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9e73eec83419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FROC</w:t>
        </w:r>
      </w:r>
      <w:r>
        <w:rPr>
          <w:b/>
        </w:rPr>
        <w:t xml:space="preserve"> </w:t>
        <w:r>
          <w:rPr/>
          <w:t xml:space="preserve">S4449.2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ADOPTED 04/25/2019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19, after "chapter" insert ", except as provided under RCW 70.105D.---(7) (section 2(7), chapter . . . (SHB 1290), Laws of 2019)"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Technical amendment. Specifies the deposit of revenue under SHB 1290 in the Model Toxics Control Capital account. SHB 1290 has passed the Legislature.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None.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6a9fa452b4305" /></Relationships>
</file>