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64a02801a466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S2742.1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17, after "</w:t>
      </w:r>
      <w:r>
        <w:rPr>
          <w:u w:val="single"/>
        </w:rPr>
        <w:t xml:space="preserve">offense;</w:t>
      </w:r>
      <w:r>
        <w:rPr/>
        <w:t xml:space="preserve">" strike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18, after "</w:t>
      </w:r>
      <w:r>
        <w:rPr>
          <w:u w:val="single"/>
        </w:rPr>
        <w:t xml:space="preserve">RCW 9.94A.411</w:t>
      </w:r>
      <w:r>
        <w:rPr/>
        <w:t xml:space="preserve">" insert "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A violation of burglary in the second degree under RCW 9A.52.030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burglary two as defined in RCW 9A.52.030 ineligible for 50% earned 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73c3d13e4615" /></Relationships>
</file>