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531696afb4c6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5682-S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S2794.1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5682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247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PULLED 03/12/2019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29, after "</w:t>
      </w:r>
      <w:r>
        <w:rPr>
          <w:u w:val="single"/>
        </w:rPr>
        <w:t xml:space="preserve">located within</w:t>
      </w:r>
      <w:r>
        <w:rPr/>
        <w:t xml:space="preserve">" strike "</w:t>
      </w:r>
      <w:r>
        <w:rPr>
          <w:u w:val="single"/>
        </w:rPr>
        <w:t xml:space="preserve">seven and one-half</w:t>
      </w:r>
      <w:r>
        <w:rPr/>
        <w:t xml:space="preserve">" and insert "</w:t>
      </w:r>
      <w:r>
        <w:rPr>
          <w:u w:val="single"/>
        </w:rPr>
        <w:t xml:space="preserve">five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Qualifying grocery stores must be at least 5 miles, instead of 7.5 miles, from the premises of a former contract liquor store or a holder of former state liquor store operating rights to be eligible to sell spirits with the maximum size of 375 milliliters.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ba8b454fd4a74" /></Relationships>
</file>