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22b0a053734501" /></Relationships>
</file>

<file path=word/document.xml><?xml version="1.0" encoding="utf-8"?>
<w:document xmlns:w="http://schemas.openxmlformats.org/wordprocessingml/2006/main">
  <w:body>
    <w:p>
      <w:r>
        <w:rPr>
          <w:b/>
        </w:rPr>
        <w:r>
          <w:rPr/>
          <w:t xml:space="preserve">5526-S.E</w:t>
        </w:r>
      </w:r>
      <w:r>
        <w:rPr>
          <w:b/>
        </w:rPr>
        <w:t xml:space="preserve"> </w:t>
        <w:t xml:space="preserve">AMC</w:t>
      </w:r>
      <w:r>
        <w:rPr>
          <w:b/>
        </w:rPr>
        <w:t xml:space="preserve"> </w:t>
        <w:r>
          <w:rPr/>
          <w:t xml:space="preserve">CONF</w:t>
        </w:r>
      </w:r>
      <w:r>
        <w:rPr>
          <w:b/>
        </w:rPr>
        <w:t xml:space="preserve"> </w:t>
        <w:r>
          <w:rPr/>
          <w:t xml:space="preserve">H3076.2</w:t>
        </w:r>
      </w:r>
      <w:r>
        <w:rPr>
          <w:b/>
        </w:rPr>
        <w:t xml:space="preserve"> - NOT FOR FLOOR USE</w:t>
      </w:r>
    </w:p>
    <w:p>
      <w:pPr>
        <w:ind w:left="0" w:right="0" w:firstLine="576"/>
      </w:pPr>
    </w:p>
    <w:p>
      <w:pPr>
        <w:spacing w:before="480" w:after="0" w:line="408" w:lineRule="exact"/>
      </w:pPr>
      <w:r>
        <w:rPr>
          <w:b/>
          <w:u w:val="single"/>
        </w:rPr>
        <w:t xml:space="preserve">ESSB 5526</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04/27/2019; SENATE ADOPTED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one silver standardized health plan and one gold standardized health plan on the exchange. If a health carrier offers a bronze health plan on the exchange, it must offer one bronze standardized health plan on the exchange.</w:t>
      </w:r>
    </w:p>
    <w:p>
      <w:pPr>
        <w:spacing w:before="0" w:after="0" w:line="408" w:lineRule="exact"/>
        <w:ind w:left="0" w:right="0" w:firstLine="576"/>
        <w:jc w:val="left"/>
      </w:pPr>
      <w:r>
        <w:rPr/>
        <w:t xml:space="preserve">(b)(i) A health plan offering a standardized health plan under this section may also offer nonstandardized health plans on the exchange.</w:t>
      </w:r>
    </w:p>
    <w:p>
      <w:pPr>
        <w:spacing w:before="0" w:after="0" w:line="408" w:lineRule="exact"/>
        <w:ind w:left="0" w:right="0" w:firstLine="576"/>
        <w:jc w:val="left"/>
      </w:pPr>
      <w:r>
        <w:rPr/>
        <w:t xml:space="preserve">(ii) 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data submitted by health carriers to the health benefit exchange for purposes of establishing standardized health plans under section 1 of this act are exempt from disclosure under this chapter. This subsection applies to health carrier data in the custody of the insurance commissioner for purposes of consulting with the health benefit exchange under section 1(1) of this act.</w:t>
      </w:r>
    </w:p>
    <w:p>
      <w:pPr>
        <w:spacing w:before="0" w:after="0" w:line="408" w:lineRule="exact"/>
        <w:ind w:left="0" w:right="0" w:firstLine="576"/>
        <w:jc w:val="left"/>
      </w:pPr>
      <w:r>
        <w:rPr/>
        <w:t xml:space="preserve">(2) Any data submitted by health carriers to the health care authority for purposes of section 3 of this act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section 1 of this act;</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(g)(i)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rPr/>
        <w:t xml:space="preserve">(ii) Beginning in calendar year 2023, if the authority determines that selective contracting will result in actuarially sound premium rates that are no greater than the qualified health plan's previous plan year rates adjusted for inflation using the consumer price index, the director may, in consultation with the health benefit exchange, waive (g)(i) of this subsection as a requirement of the contracting process under this section;</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utilization and use of evidence-based formularies.</w:t>
      </w:r>
    </w:p>
    <w:p>
      <w:pPr>
        <w:spacing w:before="0" w:after="0" w:line="408" w:lineRule="exact"/>
        <w:ind w:left="0" w:right="0" w:firstLine="576"/>
        <w:jc w:val="left"/>
      </w:pPr>
      <w:r>
        <w:rPr/>
        <w:t xml:space="preserve">(3)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director may, in his or her sole discretion, waive the requirements of section 3(2)(g)(i) of this act if he or she finds that:</w:t>
      </w:r>
    </w:p>
    <w:p>
      <w:pPr>
        <w:spacing w:before="0" w:after="0" w:line="408" w:lineRule="exact"/>
        <w:ind w:left="0" w:right="0" w:firstLine="576"/>
        <w:jc w:val="left"/>
      </w:pPr>
      <w:r>
        <w:rPr/>
        <w:t xml:space="preserve">(1) A health carrier offering a qualified health plan under section 3 of this act is unable to form a provider network that meets the network access standards adopted by the insurance commissioner due to the requirements of section 3(2)(g)(i) of this act; and</w:t>
      </w:r>
    </w:p>
    <w:p>
      <w:pPr>
        <w:spacing w:before="0" w:after="0" w:line="408" w:lineRule="exact"/>
        <w:ind w:left="0" w:right="0" w:firstLine="576"/>
        <w:jc w:val="left"/>
      </w:pPr>
      <w:r>
        <w:rPr/>
        <w:t xml:space="preserve">(2) The health carrier is able to achieve actuarially sound premiums that are ten percent lower than the previous plan year through other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in consultation with the insurance commissioner and the Washington health benefit exchange, must submit a report and recommendations to the legislature by December 1, 2022, regarding:</w:t>
      </w:r>
    </w:p>
    <w:p>
      <w:pPr>
        <w:spacing w:before="0" w:after="0" w:line="408" w:lineRule="exact"/>
        <w:ind w:left="0" w:right="0" w:firstLine="576"/>
        <w:jc w:val="left"/>
      </w:pPr>
      <w:r>
        <w:rPr/>
        <w:t xml:space="preserve">(a) The impact on qualified health plan choice, affordability, and market stability of linking offering a qualified health plan under section 3 of this act with participation in programs administered by the public employees' benefits board, the school employees' benefits board, or the health care authority;</w:t>
      </w:r>
    </w:p>
    <w:p>
      <w:pPr>
        <w:spacing w:before="0" w:after="0" w:line="408" w:lineRule="exact"/>
        <w:ind w:left="0" w:right="0" w:firstLine="576"/>
        <w:jc w:val="left"/>
      </w:pPr>
      <w:r>
        <w:rPr/>
        <w:t xml:space="preserve">(b) The impact on qualified health plan choice, qualified health plan provider networks, affordability, and market stability of linking provider participation in the provider networks of qualified health plans offered under section 3 of this act with provider participation in provider networks of programs administered by the public employees' benefits board, the school employees' benefits board, or the health care authority;</w:t>
      </w:r>
    </w:p>
    <w:p>
      <w:pPr>
        <w:spacing w:before="0" w:after="0" w:line="408" w:lineRule="exact"/>
        <w:ind w:left="0" w:right="0" w:firstLine="576"/>
        <w:jc w:val="left"/>
      </w:pPr>
      <w:r>
        <w:rPr/>
        <w:t xml:space="preserve">(c) Whether the utilization review processes employed by a health carrier offering a qualified health plan under section 3 of this act should align with clinical criteria published by the health care authority; and</w:t>
      </w:r>
    </w:p>
    <w:p>
      <w:pPr>
        <w:spacing w:before="0" w:after="0" w:line="408" w:lineRule="exact"/>
        <w:ind w:left="0" w:right="0" w:firstLine="576"/>
        <w:jc w:val="left"/>
      </w:pPr>
      <w:r>
        <w:rPr/>
        <w:t xml:space="preserve">(d) Other issues the health care authority deems relevant to the successful implementation of this act.</w:t>
      </w:r>
    </w:p>
    <w:p>
      <w:pPr>
        <w:spacing w:before="0" w:after="0" w:line="408" w:lineRule="exact"/>
        <w:ind w:left="0" w:right="0" w:firstLine="576"/>
        <w:jc w:val="left"/>
      </w:pPr>
      <w:r>
        <w:rPr/>
        <w:t xml:space="preserve">(2)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health benefit exchange, in consultation with the health care authority and the insurance commissioner, must develop a plan to implement and fund premium subsidies for individuals whose modified adjusted gross incomes are less than five hundred percent of the federal poverty level and who are purchasing individual market coverage on the exchange. The goal of the plan is to enable participating individuals to spend no more than ten percent of their modified adjusted gross incomes on premiums. The plan must also include an assessment of providing cost-sharing reductions to plan participants and must assess the impact of premium subsidies on the uninsured rate.</w:t>
      </w:r>
    </w:p>
    <w:p>
      <w:pPr>
        <w:spacing w:before="0" w:after="0" w:line="408" w:lineRule="exact"/>
        <w:ind w:left="0" w:right="0" w:firstLine="576"/>
        <w:jc w:val="left"/>
      </w:pPr>
      <w:r>
        <w:rPr/>
        <w:t xml:space="preserve">(2) The Washington health benefit exchange must submit the plan, along with proposed implementing legislation, to the appropriate committees of the legislature by November 15, 2020.</w:t>
      </w:r>
    </w:p>
    <w:p>
      <w:pPr>
        <w:spacing w:before="0" w:after="0" w:line="408" w:lineRule="exact"/>
        <w:ind w:left="0" w:right="0" w:firstLine="576"/>
        <w:jc w:val="left"/>
      </w:pPr>
      <w:r>
        <w:rPr/>
        <w:t xml:space="preserve">(3)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commissioner shall submit an annual report to the appropriate committees of the legislature on the number of health plans available per county in the individual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carrier may not require a provider or facility participating in a qualified health plan under section 3 of this act to, as a condition of participation in a qualified health plan under section 3 of this act, accept a reimbursement rate for other health plans offered by the carrier at the same rate as the provider or facility is reimbursed for a qualified health plan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This chapter does not apply to amounts received by a health care provider for services performed on patients covered by a qualified health plan offered under section 3 of this act, including reimbursement from the qualified health plan and any amounts collected from the patient as part of his or her cost-sharing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ESSB 5526</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04/27/2019; SENATE ADOPTED 04/27/2019</w:t>
      </w:r>
    </w:p>
    <w:p>
      <w:pPr>
        <w:spacing w:before="0" w:after="0" w:line="408" w:lineRule="exact"/>
        <w:ind w:left="0" w:right="0" w:firstLine="576"/>
        <w:jc w:val="left"/>
      </w:pPr>
      <w:r>
        <w:rPr/>
        <w:t xml:space="preserve">On page 1, line 2 of the title, after "market;" strike the remainder of the title and insert "adding a new section to chapter 43.71 RCW; adding a new section to chapter 42.56 RCW; adding new sections to chapter 41.05 RCW; adding new sections to chapter 48.43 RCW; adding a new section to chapter 82.04 RCW; creating new sections;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9d7671288d4abd" /></Relationships>
</file>