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05f63370f447b8" /></Relationships>
</file>

<file path=word/document.xml><?xml version="1.0" encoding="utf-8"?>
<w:document xmlns:w="http://schemas.openxmlformats.org/wordprocessingml/2006/main">
  <w:body>
    <w:p>
      <w:r>
        <w:rPr>
          <w:b/>
        </w:rPr>
        <w:r>
          <w:rPr/>
          <w:t xml:space="preserve">5444-S2</w:t>
        </w:r>
      </w:r>
      <w:r>
        <w:rPr>
          <w:b/>
        </w:rPr>
        <w:t xml:space="preserve"> </w:t>
        <w:t xml:space="preserve">AMS</w:t>
      </w:r>
      <w:r>
        <w:rPr>
          <w:b/>
        </w:rPr>
        <w:t xml:space="preserve"> </w:t>
        <w:r>
          <w:rPr/>
          <w:t xml:space="preserve">DHIN</w:t>
        </w:r>
      </w:r>
      <w:r>
        <w:rPr>
          <w:b/>
        </w:rPr>
        <w:t xml:space="preserve"> </w:t>
        <w:r>
          <w:rPr/>
          <w:t xml:space="preserve">S2594.5</w:t>
        </w:r>
      </w:r>
      <w:r>
        <w:rPr>
          <w:b/>
        </w:rPr>
        <w:t xml:space="preserve"> - NOT FOR FLOOR USE</w:t>
      </w:r>
    </w:p>
    <w:p>
      <w:pPr>
        <w:ind w:left="0" w:right="0" w:firstLine="576"/>
      </w:pPr>
    </w:p>
    <w:p>
      <w:pPr>
        <w:spacing w:before="480" w:after="0" w:line="408" w:lineRule="exact"/>
      </w:pPr>
      <w:r>
        <w:rPr>
          <w:b/>
          <w:u w:val="single"/>
        </w:rPr>
        <w:t xml:space="preserve">2SSB 5444</w:t>
      </w:r>
      <w:r>
        <w:t xml:space="preserve"> -</w:t>
      </w:r>
      <w:r>
        <w:t xml:space="preserve"> </w:t>
        <w:t xml:space="preserve">S AMD</w:t>
      </w:r>
      <w:r>
        <w:t xml:space="preserve"> </w:t>
      </w:r>
      <w:r>
        <w:rPr>
          <w:b/>
        </w:rPr>
        <w:t xml:space="preserve">206</w:t>
      </w:r>
    </w:p>
    <w:p>
      <w:pPr>
        <w:spacing w:before="0" w:after="0" w:line="408" w:lineRule="exact"/>
        <w:ind w:left="0" w:right="0" w:firstLine="576"/>
        <w:jc w:val="left"/>
      </w:pPr>
      <w:r>
        <w:rPr/>
        <w:t xml:space="preserve">By Senator Dhingra</w:t>
      </w:r>
    </w:p>
    <w:p>
      <w:pPr>
        <w:jc w:val="right"/>
      </w:pPr>
      <w:r>
        <w:rPr>
          <w:b/>
        </w:rPr>
        <w:t xml:space="preserve">ADOPTED 03/07/2019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section, a court may appoint an impartial forensic navigator authorized by the department to assist individuals who have been referred for competency evaluation.</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treatment options available to the individual to support the entry of orders for diversion from the forensic mental health system or for community outpatient competency restoration, and to facilitate that transition; and</w:t>
      </w:r>
    </w:p>
    <w:p>
      <w:pPr>
        <w:spacing w:before="0" w:after="0" w:line="408" w:lineRule="exact"/>
        <w:ind w:left="0" w:right="0" w:firstLine="576"/>
        <w:jc w:val="left"/>
      </w:pPr>
      <w:r>
        <w:rPr/>
        <w:t xml:space="preserve">(d)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Planning for a coordinated transition of the individual to a case manager in the community behavioral health system;</w:t>
      </w:r>
    </w:p>
    <w:p>
      <w:pPr>
        <w:spacing w:before="0" w:after="0" w:line="408" w:lineRule="exact"/>
        <w:ind w:left="0" w:right="0" w:firstLine="576"/>
        <w:jc w:val="left"/>
      </w:pPr>
      <w:r>
        <w:rPr/>
        <w:t xml:space="preserve">(viii) Attempting to follow up with the individual to check whether the meeting with a community-based case manager took place;</w:t>
      </w:r>
    </w:p>
    <w:p>
      <w:pPr>
        <w:spacing w:before="0" w:after="0" w:line="408" w:lineRule="exact"/>
        <w:ind w:left="0" w:right="0" w:firstLine="576"/>
        <w:jc w:val="left"/>
      </w:pPr>
      <w:r>
        <w:rPr/>
        <w:t xml:space="preserve">(ix) When the individual is a high utilizer, attempting to connect the individual with high utilizer services; and</w:t>
      </w:r>
    </w:p>
    <w:p>
      <w:pPr>
        <w:spacing w:before="0" w:after="0" w:line="408" w:lineRule="exact"/>
        <w:ind w:left="0" w:right="0" w:firstLine="576"/>
        <w:jc w:val="left"/>
      </w:pPr>
      <w:r>
        <w:rPr/>
        <w:t xml:space="preserve">(x) Attempting to check up on the individual at least once per month for up to sixty days after coordinated transition to community behavioral health services, without duplicating the services of the community-based case manager.</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w:t>
      </w:r>
      <w:r>
        <w:rPr>
          <w:u w:val="single"/>
        </w:rPr>
        <w:t xml:space="preserve">, in addition to existing authority under state law, as an alternative to arrest</w:t>
      </w:r>
      <w:r>
        <w:rPr/>
        <w:t xml:space="preserve">, the arresting officer </w:t>
      </w:r>
      <w:r>
        <w:t>((</w:t>
      </w:r>
      <w:r>
        <w:rPr>
          <w:strike/>
        </w:rPr>
        <w:t xml:space="preserve">may</w:t>
      </w:r>
      <w:r>
        <w:t>))</w:t>
      </w:r>
      <w:r>
        <w:rPr/>
        <w:t xml:space="preserve"> </w:t>
      </w:r>
      <w:r>
        <w:rPr>
          <w:u w:val="single"/>
        </w:rPr>
        <w:t xml:space="preserve">is authorized and encouraged to</w:t>
      </w:r>
      <w:r>
        <w:rPr/>
        <w:t xml:space="preserve">:</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 or</w:t>
      </w:r>
    </w:p>
    <w:p>
      <w:pPr>
        <w:spacing w:before="0" w:after="0" w:line="408" w:lineRule="exact"/>
        <w:ind w:left="0" w:right="0" w:firstLine="576"/>
        <w:jc w:val="left"/>
      </w:pPr>
      <w:r>
        <w:rPr>
          <w:strike/>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recommendation in the competency evaluation.</w:t>
      </w:r>
    </w:p>
    <w:p>
      <w:pPr>
        <w:spacing w:before="0" w:after="0" w:line="408" w:lineRule="exact"/>
        <w:ind w:left="0" w:right="0" w:firstLine="576"/>
        <w:jc w:val="left"/>
      </w:pPr>
      <w:r>
        <w:rPr>
          <w:u w:val="single"/>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(I) Adhere to medications or receive prescribed intravenous medication; and</w:t>
      </w:r>
    </w:p>
    <w:p>
      <w:pPr>
        <w:spacing w:before="0" w:after="0" w:line="408" w:lineRule="exact"/>
        <w:ind w:left="0" w:right="0" w:firstLine="576"/>
        <w:jc w:val="left"/>
      </w:pPr>
      <w:r>
        <w:rPr>
          <w:u w:val="single"/>
        </w:rPr>
        <w:t xml:space="preserve">(II) Abstain from alcohol or unprescribed drugs.</w:t>
      </w:r>
    </w:p>
    <w:p>
      <w:pPr>
        <w:spacing w:before="0" w:after="0" w:line="408" w:lineRule="exact"/>
        <w:ind w:left="0" w:right="0" w:firstLine="576"/>
        <w:jc w:val="left"/>
      </w:pPr>
      <w:r>
        <w:rPr>
          <w:u w:val="single"/>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must establish conditions of participation in the outpatient competency restoration program which must include the defendant being subject to medication monitoring and regular urinalysis.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w:t>
      </w:r>
    </w:p>
    <w:p>
      <w:pPr>
        <w:spacing w:before="0" w:after="0" w:line="408" w:lineRule="exact"/>
        <w:ind w:left="0" w:right="0" w:firstLine="576"/>
        <w:jc w:val="left"/>
      </w:pPr>
      <w:r>
        <w:rPr/>
        <w:t xml:space="preserve">(ii) The ninety day period for </w:t>
      </w:r>
      <w:r>
        <w:t>((</w:t>
      </w:r>
      <w:r>
        <w:rPr>
          <w:strike/>
        </w:rPr>
        <w:t xml:space="preserve">evaluation and treatment</w:t>
      </w:r>
      <w:r>
        <w:t>))</w:t>
      </w:r>
      <w:r>
        <w:rPr/>
        <w:t xml:space="preserve"> </w:t>
      </w:r>
      <w:r>
        <w:rPr>
          <w:u w:val="single"/>
        </w:rPr>
        <w:t xml:space="preserve">competency restoration</w:t>
      </w:r>
      <w:r>
        <w:rPr/>
        <w:t xml:space="preserve">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shall schedule a hearing to determine whether to enter an order of competency restoration.</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or not competency restoration treatment is likely to be successful, in addition to the factors listed under RCW 10.77.092.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r>
        <w:rPr/>
        <w:t xml:space="preserve"> </w:t>
      </w:r>
      <w:r>
        <w:t>((</w:t>
      </w:r>
      <w:r>
        <w:rPr>
          <w:strike/>
        </w:rPr>
        <w:t xml:space="preserve">(i)</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recommendation in the competency evaluation.</w:t>
      </w:r>
    </w:p>
    <w:p>
      <w:pPr>
        <w:spacing w:before="0" w:after="0" w:line="408" w:lineRule="exact"/>
        <w:ind w:left="0" w:right="0" w:firstLine="576"/>
        <w:jc w:val="left"/>
      </w:pPr>
      <w:r>
        <w:rPr>
          <w:u w:val="single"/>
        </w:rPr>
        <w:t xml:space="preserve">(i)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(A) Adhere to medications or receive prescribed intravenous medication; and</w:t>
      </w:r>
    </w:p>
    <w:p>
      <w:pPr>
        <w:spacing w:before="0" w:after="0" w:line="408" w:lineRule="exact"/>
        <w:ind w:left="0" w:right="0" w:firstLine="576"/>
        <w:jc w:val="left"/>
      </w:pPr>
      <w:r>
        <w:rPr>
          <w:u w:val="single"/>
        </w:rPr>
        <w:t xml:space="preserve">(B) Abstain from alcohol or unprescribed drugs</w:t>
      </w:r>
      <w:r>
        <w:rPr>
          <w:u w:val="single"/>
        </w:rPr>
        <w:t xml:space="preserve">.</w:t>
      </w:r>
    </w:p>
    <w:p>
      <w:pPr>
        <w:spacing w:before="0" w:after="0" w:line="408" w:lineRule="exact"/>
        <w:ind w:left="0" w:right="0" w:firstLine="576"/>
        <w:jc w:val="left"/>
      </w:pPr>
      <w:r>
        <w:rPr>
          <w:u w:val="single"/>
        </w:rPr>
        <w:t xml:space="preserve">(ii) If the court orders inpatient competency restoration, the department shall place the defendant in an appropriate facility of the department for competency restoration under (b) of this subsection.</w:t>
      </w:r>
    </w:p>
    <w:p>
      <w:pPr>
        <w:spacing w:before="0" w:after="0" w:line="408" w:lineRule="exact"/>
        <w:ind w:left="0" w:right="0" w:firstLine="576"/>
        <w:jc w:val="left"/>
      </w:pPr>
      <w:r>
        <w:rPr>
          <w:u w:val="single"/>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shall establish conditions of participation in the outpatient competency restoration program which must include the defendant being subject to medication monitoring and regular urinalysis.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(iv) If a defendant fails to comply with the restrictions of the outpatient competency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(v) The court may not issue an order for outpatient competency restoration unless the department certifies that there is an available appropriate outpatient restoration program that has adequate space for the person at the time the order is issued.</w:t>
      </w:r>
    </w:p>
    <w:p>
      <w:pPr>
        <w:spacing w:before="0" w:after="0" w:line="408" w:lineRule="exact"/>
        <w:ind w:left="0" w:right="0" w:firstLine="576"/>
        <w:jc w:val="left"/>
      </w:pPr>
      <w:r>
        <w:rPr>
          <w:u w:val="single"/>
        </w:rPr>
        <w:t xml:space="preserve">(b)</w:t>
      </w:r>
      <w:r>
        <w:rPr/>
        <w:t xml:space="preserve"> The placement under (a) </w:t>
      </w:r>
      <w:r>
        <w:t>((</w:t>
      </w:r>
      <w:r>
        <w:rPr>
          <w:strike/>
        </w:rPr>
        <w:t xml:space="preserve">(i) 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t xml:space="preserve"> </w:t>
      </w:r>
      <w:r>
        <w:rPr>
          <w:u w:val="single"/>
        </w:rPr>
        <w:t xml:space="preserve">if the defendant is ordered to receive inpatient competency restoration, or shall not exceed ninety days if the defendant is ordered to receive outpatient competency restoration. The court may order any combination of this subsection.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80" w:after="0" w:line="408" w:lineRule="exact"/>
      </w:pPr>
      <w:r>
        <w:rPr>
          <w:b/>
          <w:u w:val="single"/>
        </w:rPr>
        <w:t xml:space="preserve">2SSB 5444</w:t>
      </w:r>
      <w:r>
        <w:t xml:space="preserve"> -</w:t>
      </w:r>
      <w:r>
        <w:t xml:space="preserve"> </w:t>
        <w:t xml:space="preserve">S AMD</w:t>
      </w:r>
      <w:r>
        <w:t xml:space="preserve"> </w:t>
      </w:r>
      <w:r>
        <w:rPr>
          <w:b/>
        </w:rPr>
        <w:t xml:space="preserve">206</w:t>
      </w:r>
    </w:p>
    <w:p>
      <w:pPr>
        <w:spacing w:before="0" w:after="0" w:line="408" w:lineRule="exact"/>
        <w:ind w:left="0" w:right="0" w:firstLine="576"/>
        <w:jc w:val="left"/>
      </w:pPr>
      <w:r>
        <w:rPr/>
        <w:t xml:space="preserve">By Senator Dhingra</w:t>
      </w:r>
    </w:p>
    <w:p>
      <w:pPr>
        <w:jc w:val="right"/>
      </w:pPr>
      <w:r>
        <w:rPr>
          <w:b/>
        </w:rPr>
        <w:t xml:space="preserve">ADOPTED 03/07/2019</w:t>
      </w:r>
    </w:p>
    <w:p>
      <w:pPr>
        <w:spacing w:before="0" w:after="0" w:line="408" w:lineRule="exact"/>
        <w:ind w:left="0" w:right="0" w:firstLine="576"/>
        <w:jc w:val="left"/>
      </w:pPr>
      <w:r>
        <w:rPr/>
        <w:t xml:space="preserve">On page 1, line 5 of the title, after "agreement;" strike the remainder of the title and insert "amending RCW 10.31.110, 10.77.086, and 10.77.088; adding a new section to chapter 10.77 RCW; and creating a new section."</w:t>
      </w:r>
    </w:p>
    <w:p>
      <w:pPr>
        <w:spacing w:before="0" w:after="0" w:line="408" w:lineRule="exact"/>
        <w:ind w:left="0" w:right="0" w:firstLine="576"/>
        <w:jc w:val="left"/>
      </w:pPr>
      <w:r>
        <w:rPr>
          <w:u w:val="single"/>
        </w:rPr>
        <w:t xml:space="preserve">EFFECT:</w:t>
      </w:r>
      <w:r>
        <w:rPr/>
        <w:t xml:space="preserve"> A forensic navigator (navigator) must be authorized by the Department of Social and Health Services (DSHS). The navigator must plan for a coordinated transition following outpatient competency restoration. Admissions made by an individual in the course of receiving navigator services may not be used against the individual in the prosecutor's case in chief. To be eligible for outpatient competency restoration, a defendant must be clinically appropriate. While in outpatient competency restoration, the defendant must be subject to regular urinalysis. When a defendant is removed by DSHS from outpatient restoration, DSHS must notify the court and parties by the end of the next judicial day and the court must schedule a hearing within five days to review the placement and conditions of release of the defendant. The court may render its decision based on written submissions, live testimony, or remote testimony. When evaluating whether the state has a compelling state interest in pursuing competency restoration for a nonfelony defendant, the court may consider the factors under RCW 10.77.092. Language is removed indicating: That the navigator must assist an individual to navigate the legal process; that the role of the navigator must end if the individual is not referred for competency restoration; that the prosecutor may dismiss charges when mental illness or competency to stand trial becomes an issue; that the Washington Association of Sheriffs and Police Chiefs must collect and maintain written local law enforcement diversion guidelines; and that when a defendant is removed from outpatient competency restoration the period for inpatient restoration must be for the time remaining on the current competency restoration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8a719aefb4375" /></Relationships>
</file>