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3674f9557af412f" /></Relationships>
</file>

<file path=word/document.xml><?xml version="1.0" encoding="utf-8"?>
<w:document xmlns:w="http://schemas.openxmlformats.org/wordprocessingml/2006/main">
  <w:body>
    <w:p>
      <w:r>
        <w:rPr>
          <w:b/>
        </w:rPr>
        <w:r>
          <w:rPr/>
          <w:t xml:space="preserve">5318-S</w:t>
        </w:r>
      </w:r>
      <w:r>
        <w:rPr>
          <w:b/>
        </w:rPr>
        <w:t xml:space="preserve"> </w:t>
        <w:t xml:space="preserve">AMS</w:t>
      </w:r>
      <w:r>
        <w:rPr>
          <w:b/>
        </w:rPr>
        <w:t xml:space="preserve"> </w:t>
        <w:r>
          <w:rPr/>
          <w:t xml:space="preserve">PADD</w:t>
        </w:r>
      </w:r>
      <w:r>
        <w:rPr>
          <w:b/>
        </w:rPr>
        <w:t xml:space="preserve"> </w:t>
        <w:r>
          <w:rPr/>
          <w:t xml:space="preserve">S2471.3</w:t>
        </w:r>
      </w:r>
      <w:r>
        <w:rPr>
          <w:b/>
        </w:rPr>
        <w:t xml:space="preserve"> - NOT FOR FLOOR USE</w:t>
      </w:r>
    </w:p>
    <w:p>
      <w:pPr>
        <w:ind w:left="0" w:right="0" w:firstLine="576"/>
      </w:pP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190</w:t>
      </w:r>
    </w:p>
    <w:p>
      <w:pPr>
        <w:spacing w:before="0" w:after="0" w:line="408" w:lineRule="exact"/>
        <w:ind w:left="0" w:right="0" w:firstLine="576"/>
        <w:jc w:val="left"/>
      </w:pPr>
      <w:r>
        <w:rPr/>
        <w:t xml:space="preserve">By Senator Padden</w:t>
      </w:r>
    </w:p>
    <w:p>
      <w:pPr>
        <w:jc w:val="right"/>
      </w:pPr>
      <w:r>
        <w:rPr>
          <w:b/>
        </w:rPr>
        <w:t xml:space="preserve">RULED BEYOND SCOPE 03/11/2019</w:t>
      </w:r>
    </w:p>
    <w:p>
      <w:pPr>
        <w:spacing w:before="0" w:after="0" w:line="408" w:lineRule="exact"/>
        <w:ind w:left="0" w:right="0" w:firstLine="576"/>
        <w:jc w:val="left"/>
      </w:pPr>
      <w:r>
        <w:rPr/>
        <w:t xml:space="preserve">Beginning on page 7, line 34, strike all of section 7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w:t>
      </w:r>
      <w:r>
        <w:rPr>
          <w:u w:val="single"/>
        </w:rPr>
        <w:t xml:space="preserve">cancellation,</w:t>
      </w:r>
      <w:r>
        <w:rPr/>
        <w:t xml:space="preserve"> or renewal or denial thereof, of any license, the </w:t>
      </w:r>
      <w:r>
        <w:t>((</w:t>
      </w:r>
      <w:r>
        <w:rPr>
          <w:strike/>
        </w:rPr>
        <w:t xml:space="preserve">state liquor and cannabis</w:t>
      </w:r>
      <w:r>
        <w:t>))</w:t>
      </w:r>
      <w:r>
        <w:rPr/>
        <w:t xml:space="preserve"> board may consider any </w:t>
      </w:r>
      <w:r>
        <w:rPr>
          <w:u w:val="single"/>
        </w:rPr>
        <w:t xml:space="preserve">prior administrative violation history record with the board or</w:t>
      </w:r>
      <w:r>
        <w:rPr/>
        <w:t xml:space="preserve"> prior criminal </w:t>
      </w:r>
      <w:r>
        <w:t>((</w:t>
      </w:r>
      <w:r>
        <w:rPr>
          <w:strike/>
        </w:rPr>
        <w:t xml:space="preserve">conduct</w:t>
      </w:r>
      <w:r>
        <w:t>))</w:t>
      </w:r>
      <w:r>
        <w:rPr/>
        <w:t xml:space="preserve"> </w:t>
      </w:r>
      <w:r>
        <w:rPr>
          <w:u w:val="single"/>
        </w:rPr>
        <w:t xml:space="preserve">arrests or convictions</w:t>
      </w:r>
      <w:r>
        <w:rPr/>
        <w:t xml:space="preserve"> of the applicant </w:t>
      </w:r>
      <w:r>
        <w:t>((</w:t>
      </w:r>
      <w:r>
        <w:rPr>
          <w:strike/>
        </w:rPr>
        <w:t xml:space="preserve">including an administrative violation history record with the state liquor and cannabis board</w:t>
      </w:r>
      <w:r>
        <w:t>))</w:t>
      </w:r>
      <w:r>
        <w:rPr/>
        <w:t xml:space="preserve">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w:t>
      </w:r>
      <w:r>
        <w:t>((</w:t>
      </w:r>
      <w:r>
        <w:rPr>
          <w:strike/>
        </w:rPr>
        <w:t xml:space="preserve">the provisions of</w:t>
      </w:r>
      <w:r>
        <w:t>))</w:t>
      </w:r>
      <w:r>
        <w:rPr/>
        <w:t xml:space="preserve"> </w:t>
      </w:r>
      <w:r>
        <w:rPr>
          <w:u w:val="single"/>
        </w:rPr>
        <w:t xml:space="preserve">sections 2 and 3 of this act,</w:t>
      </w:r>
      <w:r>
        <w:rPr/>
        <w:t xml:space="preserve"> RCW 69.50.334, </w:t>
      </w:r>
      <w:r>
        <w:rPr>
          <w:u w:val="single"/>
        </w:rPr>
        <w:t xml:space="preserve">and 69.50.342(3)</w:t>
      </w:r>
      <w:r>
        <w:rPr/>
        <w:t xml:space="preserve">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w:t>
      </w:r>
      <w:r>
        <w:t>((</w:t>
      </w:r>
      <w:r>
        <w:rPr>
          <w:strike/>
        </w:rPr>
        <w:t xml:space="preserve">and to</w:t>
      </w:r>
      <w:r>
        <w:t>))</w:t>
      </w:r>
      <w:r>
        <w:rPr/>
        <w:t xml:space="preserve"> receive testimony in any inquiry, investigation, hearing, or proceeding in any part of the state, </w:t>
      </w:r>
      <w:r>
        <w:rPr>
          <w:u w:val="single"/>
        </w:rPr>
        <w:t xml:space="preserve">and consider mitigating and aggravating circumstances in any case and deviate from any prescribed penalty,</w:t>
      </w:r>
      <w:r>
        <w:rPr/>
        <w:t xml:space="preserv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w:t>
      </w:r>
      <w:r>
        <w:rPr>
          <w:u w:val="single"/>
        </w:rPr>
        <w:t xml:space="preserve">or authorizes a licensee's application for a change of location,</w:t>
      </w:r>
      <w:r>
        <w:rPr/>
        <w:t xml:space="preserve">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w:t>
      </w:r>
      <w:r>
        <w:rPr>
          <w:u w:val="single"/>
        </w:rPr>
        <w:t xml:space="preserve">original license</w:t>
      </w:r>
      <w:r>
        <w:rPr/>
        <w:t xml:space="preserve"> applications, or at least thirty days prior to the expiration date for renewals, </w:t>
      </w:r>
      <w:r>
        <w:rPr>
          <w:u w:val="single"/>
        </w:rPr>
        <w:t xml:space="preserve">or forty-five days from the notice of an application for a change of location,</w:t>
      </w:r>
      <w:r>
        <w:rPr/>
        <w:t xml:space="preserve"> written objections against the applicant or against the premises for which the new or renewed license</w:t>
      </w:r>
      <w:r>
        <w:rPr>
          <w:u w:val="single"/>
        </w:rPr>
        <w:t xml:space="preserve">, or application for a change of location,</w:t>
      </w:r>
      <w:r>
        <w:rPr/>
        <w:t xml:space="preserv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w:t>
      </w:r>
      <w:r>
        <w:rPr>
          <w:u w:val="single"/>
        </w:rPr>
        <w:t xml:space="preserve">(i)</w:t>
      </w:r>
      <w:r>
        <w:rPr/>
        <w:t xml:space="preserve">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w:t>
      </w:r>
      <w:r>
        <w:t>((</w:t>
      </w:r>
      <w:r>
        <w:rPr>
          <w:strike/>
        </w:rPr>
        <w:t xml:space="preserve">may in its discretion</w:t>
      </w:r>
      <w:r>
        <w:t>))</w:t>
      </w:r>
      <w:r>
        <w:rPr/>
        <w:t xml:space="preserve"> </w:t>
      </w:r>
      <w:r>
        <w:rPr>
          <w:u w:val="single"/>
        </w:rPr>
        <w:t xml:space="preserve">must</w:t>
      </w:r>
      <w:r>
        <w:rPr/>
        <w:t xml:space="preserve"> hold, a hearing subject to the applicable provisions of Title 34 RCW.</w:t>
      </w:r>
    </w:p>
    <w:p>
      <w:pPr>
        <w:spacing w:before="0" w:after="0" w:line="408" w:lineRule="exact"/>
        <w:ind w:left="0" w:right="0" w:firstLine="576"/>
        <w:jc w:val="left"/>
      </w:pPr>
      <w:r>
        <w:rPr>
          <w:u w:val="single"/>
        </w:rPr>
        <w:t xml:space="preserve">(ii)</w:t>
      </w:r>
      <w:r>
        <w:rPr/>
        <w:t xml:space="preserve"> If the </w:t>
      </w:r>
      <w:r>
        <w:t>((</w:t>
      </w:r>
      <w:r>
        <w:rPr>
          <w:strike/>
        </w:rPr>
        <w:t xml:space="preserve">state liquor and cannabis</w:t>
      </w:r>
      <w:r>
        <w:t>))</w:t>
      </w:r>
      <w:r>
        <w:rPr/>
        <w:t xml:space="preserve"> board makes an initial decision to deny a license </w:t>
      </w:r>
      <w:r>
        <w:t>((</w:t>
      </w:r>
      <w:r>
        <w:rPr>
          <w:strike/>
        </w:rPr>
        <w:t xml:space="preserve">or</w:t>
      </w:r>
      <w:r>
        <w:t>))</w:t>
      </w:r>
      <w:r>
        <w:rPr>
          <w:u w:val="single"/>
        </w:rPr>
        <w:t xml:space="preserve">,</w:t>
      </w:r>
      <w:r>
        <w:rPr/>
        <w:t xml:space="preserve"> renewal</w:t>
      </w:r>
      <w:r>
        <w:rPr>
          <w:u w:val="single"/>
        </w:rPr>
        <w:t xml:space="preserve">, or change of location</w:t>
      </w:r>
      <w:r>
        <w:rPr/>
        <w:t xml:space="preserve"> based on the written objections of an incorporated city or town or county legislative authority, the applicant </w:t>
      </w:r>
      <w:r>
        <w:rPr>
          <w:u w:val="single"/>
        </w:rPr>
        <w:t xml:space="preserve">or licensee</w:t>
      </w:r>
      <w:r>
        <w:rPr/>
        <w:t xml:space="preserve"> may request a hearing subject to the applicable provisions of Title 34 RCW. If a hearing is held at the request of the applicant </w:t>
      </w:r>
      <w:r>
        <w:rPr>
          <w:u w:val="single"/>
        </w:rPr>
        <w:t xml:space="preserve">or licensee</w:t>
      </w:r>
      <w:r>
        <w:rPr/>
        <w:t xml:space="preserve">, </w:t>
      </w:r>
      <w:r>
        <w:t>((</w:t>
      </w:r>
      <w:r>
        <w:rPr>
          <w:strike/>
        </w:rPr>
        <w:t xml:space="preserve">state liquor and cannabis</w:t>
      </w:r>
      <w:r>
        <w:t>))</w:t>
      </w:r>
      <w:r>
        <w:rPr/>
        <w:t xml:space="preserve"> </w:t>
      </w:r>
      <w:r>
        <w:rPr>
          <w:u w:val="single"/>
        </w:rPr>
        <w:t xml:space="preserve">the objecting local government may appear and present their objections, and the</w:t>
      </w:r>
      <w:r>
        <w:rPr/>
        <w:t xml:space="preserve"> board representatives must present and defend the </w:t>
      </w:r>
      <w:r>
        <w:t>((</w:t>
      </w:r>
      <w:r>
        <w:rPr>
          <w:strike/>
        </w:rPr>
        <w:t xml:space="preserve">state liquor and cannabis</w:t>
      </w:r>
      <w:r>
        <w:t>))</w:t>
      </w:r>
      <w:r>
        <w:rPr/>
        <w:t xml:space="preserve"> board's initial decision to deny a license </w:t>
      </w:r>
      <w:r>
        <w:t>((</w:t>
      </w:r>
      <w:r>
        <w:rPr>
          <w:strike/>
        </w:rPr>
        <w:t xml:space="preserve">or</w:t>
      </w:r>
      <w:r>
        <w:t>))</w:t>
      </w:r>
      <w:r>
        <w:rPr>
          <w:u w:val="single"/>
        </w:rPr>
        <w:t xml:space="preserve">,</w:t>
      </w:r>
      <w:r>
        <w:rPr/>
        <w:t xml:space="preserve"> renewal</w:t>
      </w:r>
      <w:r>
        <w:rPr>
          <w:u w:val="single"/>
        </w:rPr>
        <w:t xml:space="preserve">, or application for a change of location</w:t>
      </w:r>
      <w:r>
        <w:rPr/>
        <w:t xml:space="preserve">.</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w:t>
      </w:r>
      <w:r>
        <w:t>))</w:t>
      </w:r>
      <w:r>
        <w:rPr/>
        <w:t xml:space="preserv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w:t>
      </w:r>
      <w:r>
        <w:rPr>
          <w:u w:val="single"/>
        </w:rPr>
        <w:t xml:space="preserve">or deny an application for a change in location,</w:t>
      </w:r>
      <w:r>
        <w:rPr/>
        <w:t xml:space="preserve"> the </w:t>
      </w:r>
      <w:r>
        <w:t>((</w:t>
      </w:r>
      <w:r>
        <w:rPr>
          <w:strike/>
        </w:rPr>
        <w:t xml:space="preserve">state liquor and cannabis</w:t>
      </w:r>
      <w:r>
        <w:t>))</w:t>
      </w:r>
      <w:r>
        <w:rPr/>
        <w:t xml:space="preserve"> board must give substantial weight to objections from an incorporated city or town or county legislative authority based upon</w:t>
      </w:r>
      <w:r>
        <w:rPr>
          <w:u w:val="single"/>
        </w:rPr>
        <w:t xml:space="preserve">:</w:t>
      </w:r>
    </w:p>
    <w:p>
      <w:pPr>
        <w:spacing w:before="0" w:after="0" w:line="408" w:lineRule="exact"/>
        <w:ind w:left="0" w:right="0" w:firstLine="576"/>
        <w:jc w:val="left"/>
      </w:pPr>
      <w:r>
        <w:rPr>
          <w:u w:val="single"/>
        </w:rPr>
        <w:t xml:space="preserve">(a) The number of existing license retail outlets within five miles of the proposed location;</w:t>
      </w:r>
    </w:p>
    <w:p>
      <w:pPr>
        <w:spacing w:before="0" w:after="0" w:line="408" w:lineRule="exact"/>
        <w:ind w:left="0" w:right="0" w:firstLine="576"/>
        <w:jc w:val="left"/>
      </w:pPr>
      <w:r>
        <w:rPr>
          <w:u w:val="single"/>
        </w:rPr>
        <w:t xml:space="preserve">(b) C</w:t>
      </w:r>
      <w:r>
        <w:rPr/>
        <w:t xml:space="preserve">hronic illegal activity associated with the applicant's operations of the premises proposed to be licensed or the applicant's operation of any other licensed premises, or the conduct of the applicant's patrons inside or outside the licensed premises</w:t>
      </w:r>
      <w:r>
        <w:rPr>
          <w:u w:val="single"/>
        </w:rPr>
        <w:t xml:space="preserve">; and</w:t>
      </w:r>
    </w:p>
    <w:p>
      <w:pPr>
        <w:spacing w:before="0" w:after="0" w:line="408" w:lineRule="exact"/>
        <w:ind w:left="0" w:right="0" w:firstLine="576"/>
        <w:jc w:val="left"/>
      </w:pPr>
      <w:r>
        <w:rPr>
          <w:u w:val="single"/>
        </w:rPr>
        <w:t xml:space="preserve">(c) Concerns expressed by law enforcement about the potential sale of products that could be transported out-of-state</w:t>
      </w:r>
      <w:r>
        <w:rPr/>
        <w:t xml:space="preserve">.</w:t>
      </w:r>
    </w:p>
    <w:p>
      <w:pPr>
        <w:spacing w:before="0" w:after="0" w:line="408" w:lineRule="exact"/>
        <w:ind w:left="0" w:right="0" w:firstLine="576"/>
        <w:jc w:val="left"/>
      </w:pPr>
      <w:r>
        <w:rPr>
          <w:u w:val="single"/>
        </w:rPr>
        <w:t xml:space="preserve">(11) For the purposes of subsection (10) of this section,</w:t>
      </w:r>
      <w:r>
        <w:rPr/>
        <w:t xml:space="preserve"> "</w:t>
      </w:r>
      <w:r>
        <w:rPr>
          <w:u w:val="single"/>
        </w:rPr>
        <w:t xml:space="preserve">c</w:t>
      </w:r>
      <w:r>
        <w:rPr/>
        <w:t xml:space="preserve">hronic illegal activity" means (a) a </w:t>
      </w:r>
      <w:r>
        <w:t>((</w:t>
      </w:r>
      <w:r>
        <w:rPr>
          <w:strike/>
        </w:rPr>
        <w:t xml:space="preserve">pervasive</w:t>
      </w:r>
      <w:r>
        <w:t>))</w:t>
      </w:r>
      <w:r>
        <w:rPr/>
        <w:t xml:space="preserve"> pattern of activity that threatens the public health, safety, and welfare of the city, town, or county including, but not limited to, </w:t>
      </w:r>
      <w:r>
        <w:rPr>
          <w:u w:val="single"/>
        </w:rPr>
        <w:t xml:space="preserve">diversion of marijuana or marijuana products out of the state,</w:t>
      </w:r>
      <w:r>
        <w:rPr/>
        <w:t xml:space="preserve">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w:t>
      </w:r>
      <w:r>
        <w:rPr>
          <w:u w:val="single"/>
        </w:rPr>
        <w:t xml:space="preserve">or any law enforcement agency of another state</w:t>
      </w:r>
      <w:r>
        <w:rPr/>
        <w:t xml:space="preserve">; or (b) an unreasonably high number of citations for violations of RCW 46.61.502</w:t>
      </w:r>
      <w:r>
        <w:rPr>
          <w:u w:val="single"/>
        </w:rPr>
        <w:t xml:space="preserve">, 46.61.504, or 46.61.5249</w:t>
      </w:r>
      <w:r>
        <w:rPr/>
        <w:t xml:space="preserve">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2015 2nd sp.s. c 4 s 801 are each amended to read as follows:</w:t>
      </w:r>
    </w:p>
    <w:p>
      <w:pPr>
        <w:spacing w:before="0" w:after="0" w:line="408" w:lineRule="exact"/>
        <w:ind w:left="0" w:right="0" w:firstLine="576"/>
        <w:jc w:val="left"/>
      </w:pPr>
      <w:r>
        <w:rPr/>
        <w:t xml:space="preserve">(1) Applicants for a marijuana producer's, marijuana processor's, marijuana researcher's or marijuana retailer's license </w:t>
      </w:r>
      <w:r>
        <w:rPr>
          <w:u w:val="single"/>
        </w:rPr>
        <w:t xml:space="preserve">and licensees who apply for a change of location</w:t>
      </w:r>
      <w:r>
        <w:rPr/>
        <w:t xml:space="preserve"> under this chapter must display a sign provided by the state liquor and cannabis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state liquor and cannabis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state liquor and cannabis board.</w:t>
      </w:r>
    </w:p>
    <w:p>
      <w:pPr>
        <w:spacing w:before="0" w:after="0" w:line="408" w:lineRule="exact"/>
        <w:ind w:left="0" w:right="0" w:firstLine="576"/>
        <w:jc w:val="left"/>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marijuana producer's, marijuana processor's, marijuana researcher's, or marijuana retailer's license under this chapter, sixty days prior to issuance of the license, to any elementary or secondary school, playground, recreation center or facility, child care center, church, public park, public transit center, library, </w:t>
      </w:r>
      <w:r>
        <w:rPr>
          <w:u w:val="single"/>
        </w:rPr>
        <w:t xml:space="preserve">licensed business,</w:t>
      </w:r>
      <w:r>
        <w:rPr/>
        <w:t xml:space="preserve"> or any game arcade admission to which is not restricted to persons aged twenty-one years or older, that is within one thousand feet of the perimeter of the grounds of the establishment seeking licensure. </w:t>
      </w:r>
      <w:r>
        <w:rPr>
          <w:u w:val="single"/>
        </w:rPr>
        <w:t xml:space="preserve">The ordinance may also require notice be given to any residents who reside within one thousand feet of the proposed establishment.</w:t>
      </w:r>
      <w:r>
        <w:rPr/>
        <w:t xml:space="preserve"> The notice must provide the contact information for the liquor and cannabis board where any of the </w:t>
      </w:r>
      <w:r>
        <w:rPr>
          <w:u w:val="single"/>
        </w:rPr>
        <w:t xml:space="preserve">objecting residents or</w:t>
      </w:r>
      <w:r>
        <w:rPr/>
        <w:t xml:space="preserve"> owners or operators of these entities may submit comments or concerns about the proposed business location.</w:t>
      </w:r>
    </w:p>
    <w:p>
      <w:pPr>
        <w:spacing w:before="0" w:after="0" w:line="408" w:lineRule="exact"/>
        <w:ind w:left="0" w:right="0" w:firstLine="576"/>
        <w:jc w:val="left"/>
      </w:pPr>
      <w:r>
        <w:rPr/>
        <w:t xml:space="preserve">(b)</w:t>
      </w:r>
      <w:r>
        <w:rPr>
          <w:u w:val="single"/>
        </w:rPr>
        <w:t xml:space="preserve">(i) The board must consider the objections from the residents or owners or operators of the entities listed in (a) of this subsection based upon the factors specified in RCW 69.50.331(10), associated with the applicant's operations of the premises proposed to be licensed or the applicant's operation of any other licensed premises, or the conduct of the applicant's patrons inside or outside the licensed premises.</w:t>
      </w:r>
    </w:p>
    <w:p>
      <w:pPr>
        <w:spacing w:before="0" w:after="0" w:line="408" w:lineRule="exact"/>
        <w:ind w:left="0" w:right="0" w:firstLine="576"/>
        <w:jc w:val="left"/>
      </w:pPr>
      <w:r>
        <w:rPr>
          <w:u w:val="single"/>
        </w:rPr>
        <w:t xml:space="preserve">(ii) The written objections must include a statement of all facts upon which the objections are based. If written objections are filed, the objecting residents or owners or operators of the entities may request, and the board must hold, a hearing subject to the applicable provisions of Title 34 RCW.</w:t>
      </w:r>
    </w:p>
    <w:p>
      <w:pPr>
        <w:spacing w:before="0" w:after="0" w:line="408" w:lineRule="exact"/>
        <w:ind w:left="0" w:right="0" w:firstLine="576"/>
        <w:jc w:val="left"/>
      </w:pPr>
      <w:r>
        <w:rPr>
          <w:u w:val="single"/>
        </w:rPr>
        <w:t xml:space="preserve">(iii) If the board makes an initial decision to deny a license, renewal, or change of location based on the written objections of an objecting resident or entity, the applicant or licensee may request a hearing subject to the applicable provisions of Title 34 RCW. If a hearing is held at the request of the applicant, the objecting residents or owners or operators may appear and present their objections, and the board representatives must present and defend the board's initial decision to deny a license or renewal or an application for a change of location.</w:t>
      </w:r>
    </w:p>
    <w:p>
      <w:pPr>
        <w:spacing w:before="0" w:after="0" w:line="408" w:lineRule="exact"/>
        <w:ind w:left="0" w:right="0" w:firstLine="576"/>
        <w:jc w:val="left"/>
      </w:pPr>
      <w:r>
        <w:rPr>
          <w:u w:val="single"/>
        </w:rPr>
        <w:t xml:space="preserve">(c)</w:t>
      </w:r>
      <w:r>
        <w:rPr/>
        <w:t xml:space="preserve"> For the purposes of this subsection, "church" means a building erected for and used exclusively for religious worship and schooling or other activity in connection therewith."</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14, after line 15,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Within existing resources, the board must assist any in-state or out-of-state law enforcement agency with concerns over the in-state purchase of licensed marijuana products for use or resale outside of this state."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5318</w:t>
      </w:r>
      <w:r>
        <w:t xml:space="preserve"> -</w:t>
      </w:r>
      <w:r>
        <w:t xml:space="preserve"> </w:t>
        <w:t xml:space="preserve">S AMD TO S AMD (S-2696.1/19)</w:t>
      </w:r>
      <w:r>
        <w:t xml:space="preserve"> </w:t>
      </w:r>
      <w:r>
        <w:rPr>
          <w:b/>
        </w:rPr>
        <w:t xml:space="preserve">190</w:t>
      </w:r>
    </w:p>
    <w:p>
      <w:pPr>
        <w:spacing w:before="0" w:after="0" w:line="408" w:lineRule="exact"/>
        <w:ind w:left="0" w:right="0" w:firstLine="576"/>
        <w:jc w:val="left"/>
      </w:pPr>
      <w:r>
        <w:rPr/>
        <w:t xml:space="preserve">By Senator Padden</w:t>
      </w:r>
    </w:p>
    <w:p>
      <w:pPr>
        <w:jc w:val="right"/>
      </w:pPr>
      <w:r>
        <w:rPr>
          <w:b/>
        </w:rPr>
        <w:t xml:space="preserve">RULED BEYOND SCOPE 03/11/2019</w:t>
      </w:r>
    </w:p>
    <w:p>
      <w:pPr>
        <w:spacing w:before="0" w:after="0" w:line="408" w:lineRule="exact"/>
        <w:ind w:left="0" w:right="0" w:firstLine="576"/>
        <w:jc w:val="left"/>
      </w:pPr>
      <w:r>
        <w:rPr/>
        <w:t xml:space="preserve">On page 2, beginning on line 30, after "69.50.342" strike "and 69.50.331" and insert ", 69.50.331, and 69.50.580"</w:t>
      </w:r>
    </w:p>
    <w:p>
      <w:pPr>
        <w:spacing w:before="0" w:after="0" w:line="408" w:lineRule="exact"/>
        <w:ind w:left="0" w:right="0" w:firstLine="576"/>
        <w:jc w:val="left"/>
      </w:pPr>
      <w:r>
        <w:rPr>
          <w:u w:val="single"/>
        </w:rPr>
        <w:t xml:space="preserve">EFFECT:</w:t>
      </w:r>
      <w:r>
        <w:rPr/>
        <w:t xml:space="preserve"> Maintains original language from the striking amendment in Sec. 7 and adds provisions to that section, plus revisions to RCW 69.50.580 to the following effect:</w:t>
      </w:r>
    </w:p>
    <w:p>
      <w:pPr>
        <w:spacing w:before="0" w:after="0" w:line="408" w:lineRule="exact"/>
        <w:ind w:left="0" w:right="0" w:firstLine="576"/>
        <w:jc w:val="left"/>
      </w:pPr>
      <w:r>
        <w:rPr/>
        <w:t xml:space="preserve">Adds additional statutory requirements for a marijuana licensee who applies to move the location of the licensed business. Requires notice to local governments of a proposed relocation and allows the local government to file an objection within 45 days of the notice. If requested by a local government, the Liquor and Cannabis Board (LCB) must hold a hearing on any application by the licensee. The objecting local government has the right to appear and present its objections. The basis for a local government's right to object to a license application is expanded to include: (1) The number of existing licensed retail outlets within five miles; and (2) law enforcement's concern about potential products being transported out-of-state.</w:t>
      </w:r>
    </w:p>
    <w:p>
      <w:pPr>
        <w:spacing w:before="0" w:after="0" w:line="408" w:lineRule="exact"/>
        <w:ind w:left="0" w:right="0" w:firstLine="576"/>
        <w:jc w:val="left"/>
      </w:pPr>
      <w:r>
        <w:rPr/>
        <w:t xml:space="preserve">Modifies the definition of "chronic illegal activity" to cover a pattern of activity (instead of a "pervasive" pattern) and expanded to include that out-of-state diversion activity and illegal activity may also be considered when reported by law enforcement of another state.</w:t>
      </w:r>
    </w:p>
    <w:p>
      <w:pPr>
        <w:spacing w:before="0" w:after="0" w:line="408" w:lineRule="exact"/>
        <w:ind w:left="0" w:right="0" w:firstLine="576"/>
        <w:jc w:val="left"/>
      </w:pPr>
      <w:r>
        <w:rPr/>
        <w:t xml:space="preserve">Adds public notice requirements to include a notice, posted at the premises, when a licensee proposes to move its location. The current law that allows local governments to require, by ordinance, additional notices by licensees to certain entities located within 1,000 feet of the proposed location, is expanded to include notice to nearby residents and licensed businesses. Objections may be filed based on the grounds that are granted a local government, including the new provisions added in to RCW 69.50.331 in the amendment.</w:t>
      </w:r>
    </w:p>
    <w:p>
      <w:pPr>
        <w:spacing w:before="0" w:after="0" w:line="408" w:lineRule="exact"/>
        <w:ind w:left="0" w:right="0" w:firstLine="576"/>
        <w:jc w:val="left"/>
      </w:pPr>
      <w:r>
        <w:rPr/>
        <w:t xml:space="preserve">Adds new provisions for objecting residents and entities: (1) The LCB must consider those objections; (2) the residents and entities have the right to request, and present their objections, at a hearing, if the LCB approves an application; and (3) the residents and entities have the right to appear and present their objections at any hearing requested by an applicant whose application was denied.</w:t>
      </w:r>
    </w:p>
    <w:p>
      <w:pPr>
        <w:spacing w:before="0" w:after="0" w:line="408" w:lineRule="exact"/>
        <w:ind w:left="0" w:right="0" w:firstLine="576"/>
        <w:jc w:val="left"/>
      </w:pPr>
      <w:r>
        <w:rPr/>
        <w:t xml:space="preserve">Directs the Liquor and Cannabis Board to assist, within available resources, any in-state or out-of-state law enforcement agency with concerns over the in-state purchase of licensed marijuana products for use or resale outside of this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7e663bb9b4406" /></Relationships>
</file>