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3bdc8e46141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S2273.1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53, after line 22,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30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34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of ecology shall not enforce chapter 173-442 WAC.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of ecology shall repeal: (a) Chapter 173-442 WAC; and (b) the associated amendments to chapter 173-441 WAC that were adopted for the purpose of aligning chapters 173-441 and 173-442 WAC.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repeal of rules authorized and required by subsection (2) of this section is not subject to judicial review under this chapter."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title, after "80.28 RCW;" insert "adding a new section to chapter 34.05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repeal the Clean Air Rule and associated requirements in reporting of emissions of greenhouse gases.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ca237f8346a5" /></Relationships>
</file>