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5f135e76f84846" /></Relationships>
</file>

<file path=word/document.xml><?xml version="1.0" encoding="utf-8"?>
<w:document xmlns:w="http://schemas.openxmlformats.org/wordprocessingml/2006/main">
  <w:body>
    <w:p>
      <w:r>
        <w:rPr>
          <w:b/>
        </w:rPr>
        <w:r>
          <w:rPr/>
          <w:t xml:space="preserve">2965.E</w:t>
        </w:r>
      </w:r>
      <w:r>
        <w:rPr>
          <w:b/>
        </w:rPr>
        <w:t xml:space="preserve"> </w:t>
        <w:t xml:space="preserve">AMS</w:t>
      </w:r>
      <w:r>
        <w:rPr>
          <w:b/>
        </w:rPr>
        <w:t xml:space="preserve"> </w:t>
        <w:r>
          <w:rPr/>
          <w:t xml:space="preserve">BRAU</w:t>
        </w:r>
      </w:r>
      <w:r>
        <w:rPr>
          <w:b/>
        </w:rPr>
        <w:t xml:space="preserve"> </w:t>
        <w:r>
          <w:rPr/>
          <w:t xml:space="preserve">S7516.2</w:t>
        </w:r>
      </w:r>
      <w:r>
        <w:rPr>
          <w:b/>
        </w:rPr>
        <w:t xml:space="preserve"> - NOT FOR FLOOR USE</w:t>
      </w:r>
    </w:p>
    <w:p>
      <w:pPr>
        <w:ind w:left="0" w:right="0" w:firstLine="576"/>
      </w:pPr>
    </w:p>
    <w:p>
      <w:pPr>
        <w:spacing w:before="480" w:after="0" w:line="408" w:lineRule="exact"/>
      </w:pPr>
      <w:r>
        <w:rPr>
          <w:b/>
          <w:u w:val="single"/>
        </w:rPr>
        <w:t xml:space="preserve">EHB 2965</w:t>
      </w:r>
      <w:r>
        <w:t xml:space="preserve"> -</w:t>
      </w:r>
      <w:r>
        <w:t xml:space="preserve"> </w:t>
        <w:t xml:space="preserve">S AMD</w:t>
      </w:r>
      <w:r>
        <w:t xml:space="preserve"> </w:t>
      </w:r>
      <w:r>
        <w:rPr>
          <w:b/>
        </w:rPr>
        <w:t xml:space="preserve">1258</w:t>
      </w:r>
    </w:p>
    <w:p>
      <w:pPr>
        <w:spacing w:before="0" w:after="0" w:line="408" w:lineRule="exact"/>
        <w:ind w:left="0" w:right="0" w:firstLine="576"/>
        <w:jc w:val="left"/>
      </w:pPr>
      <w:r>
        <w:rPr/>
        <w:t xml:space="preserve">By Senator Braun</w:t>
      </w:r>
    </w:p>
    <w:p>
      <w:pPr>
        <w:jc w:val="right"/>
      </w:pPr>
      <w:r>
        <w:rPr>
          <w:b/>
        </w:rPr>
        <w:t xml:space="preserve">ADOPTED 03/04/2020</w:t>
      </w:r>
    </w:p>
    <w:p>
      <w:pPr>
        <w:spacing w:before="0" w:after="0" w:line="408" w:lineRule="exact"/>
        <w:ind w:left="0" w:right="0" w:firstLine="576"/>
        <w:jc w:val="left"/>
      </w:pPr>
      <w:r>
        <w:rPr/>
        <w:t xml:space="preserve">On page 3, beginning on line 5, strike all of section 4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(1) The department of social and health services is authorized to determine nursing facility payments to adequately resource facilities responding to the novel coronavirus outbreak pursuant to the gubernatorial declaration of emergency of February 29, 2020. The medicaid payments provided to nursing facilities in response to this state of emergency shall be determined by the department as appropriate to address the immediate safety needs of Washington state citizens and shall not be subject to this chapter's medicaid methodology. Any nursing facility payment made under this section shall not be included in the calculation of the annual statewide weighted average nursing facility payment rate.</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2019 c 50 s 1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He or she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He or she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He or she is able to work, and is available for work in any trade, occupation, profession, or business for which he or she is reasonably fitted.</w:t>
      </w:r>
    </w:p>
    <w:p>
      <w:pPr>
        <w:spacing w:before="0" w:after="0" w:line="408" w:lineRule="exact"/>
        <w:ind w:left="0" w:right="0" w:firstLine="576"/>
        <w:jc w:val="left"/>
      </w:pPr>
      <w:r>
        <w:rPr/>
        <w:t xml:space="preserve">(i)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(ii) </w:t>
      </w:r>
      <w:r>
        <w:rPr>
          <w:u w:val="single"/>
        </w:rPr>
        <w:t xml:space="preserve">Until June 30, 2021, an individual under quarantine or isolation, as defined by the department of health, as directed by a public health official during the novel coronavirus outbreak pursuant to the gubernatorial declaration of emergency of February 29, 2020, does not need to meet the requirements of this subsection (1)(c).</w:t>
      </w:r>
    </w:p>
    <w:p>
      <w:pPr>
        <w:spacing w:before="0" w:after="0" w:line="408" w:lineRule="exact"/>
        <w:ind w:left="0" w:right="0" w:firstLine="576"/>
        <w:jc w:val="left"/>
      </w:pPr>
      <w:r>
        <w:rPr>
          <w:u w:val="single"/>
        </w:rPr>
        <w:t xml:space="preserve">(iii)</w:t>
      </w:r>
      <w:r>
        <w:rPr/>
        <w:t xml:space="preserve"> For the purposes of this subsection, "customary trade practices" includes compliance with an electrical apprenticeship training program that includes a recognized referral system under apprenticeship program standards approved by the Washington state apprenticeship and training council;</w:t>
      </w:r>
    </w:p>
    <w:p>
      <w:pPr>
        <w:spacing w:before="0" w:after="0" w:line="408" w:lineRule="exact"/>
        <w:ind w:left="0" w:right="0" w:firstLine="576"/>
        <w:jc w:val="left"/>
      </w:pPr>
      <w:r>
        <w:rPr/>
        <w:t xml:space="preserve">(d) He or she has been unemployed for a waiting period of one week;</w:t>
      </w:r>
    </w:p>
    <w:p>
      <w:pPr>
        <w:spacing w:before="0" w:after="0" w:line="408" w:lineRule="exact"/>
        <w:ind w:left="0" w:right="0" w:firstLine="576"/>
        <w:jc w:val="left"/>
      </w:pPr>
      <w:r>
        <w:rPr/>
        <w:t xml:space="preserve">(e) He or she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As to weeks beginning after March 31, 1981,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EHB 2965</w:t>
      </w:r>
      <w:r>
        <w:t xml:space="preserve"> -</w:t>
      </w:r>
      <w:r>
        <w:t xml:space="preserve"> </w:t>
        <w:t xml:space="preserve">S AMD</w:t>
      </w:r>
      <w:r>
        <w:t xml:space="preserve"> </w:t>
      </w:r>
      <w:r>
        <w:rPr>
          <w:b/>
        </w:rPr>
        <w:t xml:space="preserve">1258</w:t>
      </w:r>
    </w:p>
    <w:p>
      <w:pPr>
        <w:spacing w:before="0" w:after="0" w:line="408" w:lineRule="exact"/>
        <w:ind w:left="0" w:right="0" w:firstLine="576"/>
        <w:jc w:val="left"/>
      </w:pPr>
      <w:r>
        <w:rPr/>
        <w:t xml:space="preserve">By Senator Braun</w:t>
      </w:r>
    </w:p>
    <w:p>
      <w:pPr>
        <w:jc w:val="right"/>
      </w:pPr>
      <w:r>
        <w:rPr>
          <w:b/>
        </w:rPr>
        <w:t xml:space="preserve">ADOPTED 03/04/2020</w:t>
      </w:r>
    </w:p>
    <w:p>
      <w:pPr>
        <w:spacing w:before="0" w:after="0" w:line="408" w:lineRule="exact"/>
        <w:ind w:left="0" w:right="0" w:firstLine="576"/>
        <w:jc w:val="left"/>
      </w:pPr>
      <w:r>
        <w:rPr/>
        <w:t xml:space="preserve">On page 1, line 2 of the title, after "38.52.105" strike "; adding a new section to chapter 74.46 RCW;" and insert "and 50.20.010; creating new sections;" and on line 3, after "appropriations;" insert "providing an expiration date;"</w:t>
      </w:r>
    </w:p>
    <w:p>
      <w:pPr>
        <w:spacing w:before="0" w:after="0" w:line="408" w:lineRule="exact"/>
        <w:ind w:left="0" w:right="0" w:firstLine="576"/>
        <w:jc w:val="left"/>
      </w:pPr>
      <w:r>
        <w:rPr>
          <w:u w:val="single"/>
        </w:rPr>
        <w:t xml:space="preserve">EFFECT:</w:t>
      </w:r>
      <w:r>
        <w:rPr/>
        <w:t xml:space="preserve"> (1) Limits the determination of nursing facility payments to the current coronavirus declared emergency and expires this language June 30, 2021.</w:t>
      </w:r>
    </w:p>
    <w:p>
      <w:pPr>
        <w:spacing w:before="0" w:after="0" w:line="408" w:lineRule="exact"/>
        <w:ind w:left="0" w:right="0" w:firstLine="576"/>
        <w:jc w:val="left"/>
      </w:pPr>
      <w:r>
        <w:rPr/>
        <w:t xml:space="preserve">(2) Provides that until June 30, 2021, an individual under quarantine or isolation during the novel coronavirus outbreak does not need to meet the requirement that an individual be able and available to work in order to be eligible to receive unemployment insurance benefits.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90f1c9c53482a" /></Relationships>
</file>