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e8261f1958e4bf3" /></Relationships>
</file>

<file path=word/document.xml><?xml version="1.0" encoding="utf-8"?>
<w:document xmlns:w="http://schemas.openxmlformats.org/wordprocessingml/2006/main">
  <w:body>
    <w:p>
      <w:r>
        <w:rPr>
          <w:b/>
        </w:rPr>
        <w:r>
          <w:rPr/>
          <w:t xml:space="preserve">2535-S.E</w:t>
        </w:r>
      </w:r>
      <w:r>
        <w:rPr>
          <w:b/>
        </w:rPr>
        <w:t xml:space="preserve"> </w:t>
        <w:t xml:space="preserve">AMS</w:t>
      </w:r>
      <w:r>
        <w:rPr>
          <w:b/>
        </w:rPr>
        <w:t xml:space="preserve"> </w:t>
        <w:r>
          <w:rPr/>
          <w:t xml:space="preserve">FIET</w:t>
        </w:r>
      </w:r>
      <w:r>
        <w:rPr>
          <w:b/>
        </w:rPr>
        <w:t xml:space="preserve"> </w:t>
        <w:r>
          <w:rPr/>
          <w:t xml:space="preserve">S7019.1</w:t>
        </w:r>
      </w:r>
      <w:r>
        <w:rPr>
          <w:b/>
        </w:rPr>
        <w:t xml:space="preserve"> - NOT FOR FLOOR USE</w:t>
      </w:r>
    </w:p>
    <w:p>
      <w:pPr>
        <w:ind w:left="0" w:right="0" w:firstLine="576"/>
      </w:pPr>
    </w:p>
    <w:p>
      <w:pPr>
        <w:spacing w:before="480" w:after="0" w:line="408" w:lineRule="exact"/>
      </w:pPr>
      <w:r>
        <w:rPr>
          <w:b/>
          <w:u w:val="single"/>
        </w:rPr>
        <w:t xml:space="preserve">ESHB 2535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03/03/2020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1973 1st ex.s. c 207 s 17 are each amended to read as follows:</w:t>
      </w:r>
    </w:p>
    <w:p>
      <w:pPr>
        <w:spacing w:before="0" w:after="0" w:line="408" w:lineRule="exact"/>
        <w:ind w:left="0" w:right="0" w:firstLine="576"/>
        <w:jc w:val="left"/>
      </w:pPr>
      <w:r>
        <w:rPr>
          <w:u w:val="single"/>
        </w:rPr>
        <w:t xml:space="preserve">(1)</w:t>
      </w:r>
      <w:r>
        <w:rPr/>
        <w:t xml:space="preserve">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u w:val="single"/>
        </w:rPr>
        <w:t xml:space="preserve">(2) The landlord may not charge a late fee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u w:val="single"/>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r>
        <w:rPr>
          <w:u w:val="single"/>
        </w:rPr>
        <w:t xml:space="preserve">; or</w:t>
      </w:r>
    </w:p>
    <w:p>
      <w:pPr>
        <w:spacing w:before="0" w:after="0" w:line="408" w:lineRule="exact"/>
        <w:ind w:left="0" w:right="0" w:firstLine="576"/>
        <w:jc w:val="left"/>
      </w:pPr>
      <w:r>
        <w:rPr>
          <w:u w:val="single"/>
        </w:rPr>
        <w:t xml:space="preserve">(f) Agrees to pay late fees for rent that is paid within five days following its due date. If rent is more than five days past due, the landlord may charge late fees commencing from the first day after the due date until paid</w:t>
      </w:r>
      <w:r>
        <w:rPr/>
        <w:t xml:space="preserve">. </w:t>
      </w:r>
      <w:r>
        <w:rPr>
          <w:u w:val="single"/>
        </w:rPr>
        <w:t xml:space="preserve">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five hundred dollars,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80" w:after="0" w:line="408" w:lineRule="exact"/>
      </w:pPr>
      <w:r>
        <w:rPr>
          <w:b/>
          <w:u w:val="single"/>
        </w:rPr>
        <w:t xml:space="preserve">ESHB 2535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03/03/2020</w:t>
      </w:r>
    </w:p>
    <w:p>
      <w:pPr>
        <w:spacing w:before="0" w:after="0" w:line="408" w:lineRule="exact"/>
        <w:ind w:left="0" w:right="0" w:firstLine="576"/>
        <w:jc w:val="left"/>
      </w:pPr>
      <w:r>
        <w:rPr/>
        <w:t xml:space="preserve">On page 1, line 2 of the title, after "rent;" strike the remainder of the title and insert "and amending RCW 59.18.170 and 59.18.230."</w:t>
      </w:r>
    </w:p>
    <w:p>
      <w:pPr>
        <w:spacing w:before="0" w:after="0" w:line="408" w:lineRule="exact"/>
        <w:ind w:left="0" w:right="0" w:firstLine="576"/>
        <w:jc w:val="left"/>
      </w:pPr>
      <w:r>
        <w:rPr>
          <w:u w:val="single"/>
        </w:rPr>
        <w:t xml:space="preserve">EFFECT:</w:t>
      </w:r>
      <w:r>
        <w:rPr/>
        <w:t xml:space="preserve"> In a situation where a tenant is assessed with late fees, a tenant may propose altering the due date for rent to a different date if it relates directly to a regular, monthly source of governmental assistance that is not received until after the date rent is due as long as the due date is no more than five days later than the due date in the rental agreement.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b272bacf14093" /></Relationships>
</file>