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4ad085d8a4c9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2158-S2.E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S4700.1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2158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WITHDRAWN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90, beginning on line 25, strike all of subsection (2)(kk)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persons engaged in providing analytic or diagnostic services, including body fluid analysis and diagnostic imaging, from the category of specified persons subject to the workforce education investment surcharge.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e420ca5b04359" /></Relationships>
</file>