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348be1bab840dd"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WARN</w:t>
        </w:r>
      </w:r>
      <w:r>
        <w:rPr>
          <w:b/>
        </w:rPr>
        <w:t xml:space="preserve"> </w:t>
        <w:r>
          <w:rPr/>
          <w:t xml:space="preserve">S4671.1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844</w:t>
      </w:r>
    </w:p>
    <w:p>
      <w:pPr>
        <w:spacing w:before="0" w:after="0" w:line="408" w:lineRule="exact"/>
        <w:ind w:left="0" w:right="0" w:firstLine="576"/>
        <w:jc w:val="left"/>
      </w:pPr>
      <w:r>
        <w:rPr/>
        <w:t xml:space="preserve">By Senator Warnick</w:t>
      </w:r>
    </w:p>
    <w:p>
      <w:pPr>
        <w:jc w:val="right"/>
      </w:pPr>
      <w:r>
        <w:rPr>
          <w:b/>
        </w:rPr>
        <w:t xml:space="preserve">NOT ADOPTED 04/28/2019</w:t>
      </w:r>
    </w:p>
    <w:p>
      <w:pPr>
        <w:spacing w:before="0" w:after="0" w:line="408" w:lineRule="exact"/>
        <w:ind w:left="0" w:right="0" w:firstLine="576"/>
        <w:jc w:val="left"/>
      </w:pPr>
      <w:r>
        <w:rPr/>
        <w:t xml:space="preserve">Beginning on page 84, line 39, strike all of subsection (2)(c)</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putting capital at risk in the process of underwriting securities issues or in making markets for securities and commodities and those acting as agents or brokers between buyers and sellers of securities and commodities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1c052f9b14664" /></Relationships>
</file>