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d1949e1a654ff0"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S4694.1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868</w:t>
      </w:r>
    </w:p>
    <w:p>
      <w:pPr>
        <w:spacing w:before="0" w:after="0" w:line="408" w:lineRule="exact"/>
        <w:ind w:left="0" w:right="0" w:firstLine="576"/>
        <w:jc w:val="left"/>
      </w:pPr>
      <w:r>
        <w:rPr/>
        <w:t xml:space="preserve">By Senator Becker</w:t>
      </w:r>
    </w:p>
    <w:p>
      <w:pPr>
        <w:jc w:val="right"/>
      </w:pPr>
      <w:r>
        <w:rPr>
          <w:b/>
        </w:rPr>
        <w:t xml:space="preserve">WITHDRAWN 04/28/2019</w:t>
      </w:r>
    </w:p>
    <w:p>
      <w:pPr>
        <w:spacing w:before="0" w:after="0" w:line="408" w:lineRule="exact"/>
        <w:ind w:left="0" w:right="0" w:firstLine="576"/>
        <w:jc w:val="left"/>
      </w:pPr>
      <w:r>
        <w:rPr/>
        <w:t xml:space="preserve">On page 89, beginning on line 35, strike all of subsection (2)(ee)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providing services, such as auditing of accounting records, designing accounting systems, preparing financial statements, developing budgets, preparing tax returns, processing payrolls, bookkeeping, and billing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53f2aeabf244da" /></Relationships>
</file>