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62b4e87c490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1406-S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S4616.1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1406</w:t>
      </w:r>
      <w:r>
        <w:t xml:space="preserve"> -</w:t>
      </w:r>
      <w:r>
        <w:t xml:space="preserve"> </w:t>
        <w:t xml:space="preserve">S AMD TO WM COMM AMD (S-4563.2/19)</w:t>
      </w:r>
      <w:r>
        <w:t xml:space="preserve"> </w:t>
      </w:r>
      <w:r>
        <w:rPr>
          <w:b/>
        </w:rPr>
        <w:t xml:space="preserve">825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13, strike all of subsection (13)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provision requiring cities to take action to qualify for a planning grant from the Department of Commerce, if House Bill 1923 is enacted, in order to levy the local sales tax for affordable housing authorized 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9d4d214a44fb9" /></Relationships>
</file>