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86c3e9ad9459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1394-S2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DHIN</w:t>
        </w:r>
      </w:r>
      <w:r>
        <w:rPr>
          <w:b/>
        </w:rPr>
        <w:t xml:space="preserve"> </w:t>
        <w:r>
          <w:rPr/>
          <w:t xml:space="preserve">S4094.1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1394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630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Dhingra</w:t>
      </w:r>
    </w:p>
    <w:p>
      <w:pPr>
        <w:jc w:val="right"/>
      </w:pPr>
      <w:r>
        <w:rPr>
          <w:b/>
        </w:rPr>
        <w:t xml:space="preserve">OUT OF ORDER 04/17/2019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beginning on line 4, strike all of subsection (1)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beginning on line 9, after "residents" strike all material through "ratio" on line 10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beginning on line 11, strike all of subsection (4)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requirements for an intensive behavioral health treatment facility to have a high staff-to-patient ratio, to clearly define clinical eligibility criteria, and to require access to specified regular psychosocial rehabilitation services.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fb98fbdba4089" /></Relationships>
</file>