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c23cea6b634033" /></Relationships>
</file>

<file path=word/document.xml><?xml version="1.0" encoding="utf-8"?>
<w:document xmlns:w="http://schemas.openxmlformats.org/wordprocessingml/2006/main">
  <w:body>
    <w:p>
      <w:r>
        <w:rPr>
          <w:b/>
        </w:rPr>
        <w:r>
          <w:rPr/>
          <w:t xml:space="preserve">1324-S3.E</w:t>
        </w:r>
      </w:r>
      <w:r>
        <w:rPr>
          <w:b/>
        </w:rPr>
        <w:t xml:space="preserve"> </w:t>
        <w:t xml:space="preserve">AMS</w:t>
      </w:r>
      <w:r>
        <w:rPr>
          <w:b/>
        </w:rPr>
        <w:t xml:space="preserve"> </w:t>
        <w:r>
          <w:rPr/>
          <w:t xml:space="preserve">VAND</w:t>
        </w:r>
      </w:r>
      <w:r>
        <w:rPr>
          <w:b/>
        </w:rPr>
        <w:t xml:space="preserve"> </w:t>
        <w:r>
          <w:rPr/>
          <w:t xml:space="preserve">S3993.4</w:t>
        </w:r>
      </w:r>
      <w:r>
        <w:rPr>
          <w:b/>
        </w:rPr>
        <w:t xml:space="preserve"> - NOT FOR FLOOR USE</w:t>
      </w:r>
    </w:p>
    <w:p>
      <w:pPr>
        <w:ind w:left="0" w:right="0" w:firstLine="576"/>
      </w:pPr>
    </w:p>
    <w:p>
      <w:pPr>
        <w:spacing w:before="480" w:after="0" w:line="408" w:lineRule="exact"/>
      </w:pPr>
      <w:r>
        <w:rPr>
          <w:b/>
          <w:u w:val="single"/>
        </w:rPr>
        <w:t xml:space="preserve">E3SHB 1324</w:t>
      </w:r>
      <w:r>
        <w:t xml:space="preserve"> -</w:t>
      </w:r>
      <w:r>
        <w:t xml:space="preserve"> </w:t>
        <w:t xml:space="preserve">S AMD</w:t>
      </w:r>
      <w:r>
        <w:t xml:space="preserve"> </w:t>
      </w:r>
      <w:r>
        <w:rPr>
          <w:b/>
        </w:rPr>
        <w:t xml:space="preserve">593</w:t>
      </w:r>
    </w:p>
    <w:p>
      <w:pPr>
        <w:spacing w:before="0" w:after="0" w:line="408" w:lineRule="exact"/>
        <w:ind w:left="0" w:right="0" w:firstLine="576"/>
        <w:jc w:val="left"/>
      </w:pPr>
      <w:r>
        <w:rPr/>
        <w:t xml:space="preserve">By Senator Van De Wege</w:t>
      </w:r>
    </w:p>
    <w:p>
      <w:pPr>
        <w:jc w:val="right"/>
      </w:pPr>
      <w:r>
        <w:rPr>
          <w:b/>
        </w:rPr>
        <w:t xml:space="preserve">WITHDRAWN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study the creation of a program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must conduct a study on certain programs incentivizing private investment and job creation in rural and distressed communities. In conducting the study, the institute must:</w:t>
      </w:r>
    </w:p>
    <w:p>
      <w:pPr>
        <w:spacing w:before="0" w:after="0" w:line="408" w:lineRule="exact"/>
        <w:ind w:left="0" w:right="0" w:firstLine="576"/>
        <w:jc w:val="left"/>
      </w:pPr>
      <w:r>
        <w:rPr/>
        <w:t xml:space="preserve">(a) Conduct a fifty-state review on the structure and characteristics of certified capital company programs, new markets tax credit programs, rural jobs programs, and other similar economic development programs in other states; and</w:t>
      </w:r>
    </w:p>
    <w:p>
      <w:pPr>
        <w:spacing w:before="0" w:after="0" w:line="408" w:lineRule="exact"/>
        <w:ind w:left="0" w:right="0" w:firstLine="576"/>
        <w:jc w:val="left"/>
      </w:pPr>
      <w:r>
        <w:rPr/>
        <w:t xml:space="preserve">(b) Review any available research on these initiatives and, to the extent possible, describe the effects of each type of initiative on employment, earnings, property values, and job creation.</w:t>
      </w:r>
    </w:p>
    <w:p>
      <w:pPr>
        <w:spacing w:before="0" w:after="0" w:line="408" w:lineRule="exact"/>
        <w:ind w:left="0" w:right="0" w:firstLine="576"/>
        <w:jc w:val="left"/>
      </w:pPr>
      <w:r>
        <w:rPr/>
        <w:t xml:space="preserve">(2) The Washington state institute for public policy must submit a report on its findings to the appropriate committees of the legislature, in compliance with RCW 43.01.036,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pPr>
        <w:spacing w:before="0" w:after="0" w:line="408" w:lineRule="exact"/>
        <w:ind w:left="0" w:right="0" w:firstLine="576"/>
        <w:jc w:val="left"/>
      </w:pPr>
      <w:r>
        <w:rPr/>
        <w:t xml:space="preserve">(2)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2045</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2045</w:t>
      </w:r>
      <w:r>
        <w:rPr/>
        <w:t xml:space="preserve">, upon every person engaging within this state in the business of manufacturing or processing for hire: (i) Timber into timber products or wood products; </w:t>
      </w:r>
      <w:r>
        <w:t>((</w:t>
      </w:r>
      <w:r>
        <w:rPr>
          <w:strike/>
        </w:rPr>
        <w:t xml:space="preserve">or</w:t>
      </w:r>
      <w:r>
        <w:t>))</w:t>
      </w:r>
      <w:r>
        <w:rPr/>
        <w:t xml:space="preserve"> (ii) timber products into other timber products or wood products</w:t>
      </w:r>
      <w:r>
        <w:rPr>
          <w:u w:val="single"/>
        </w:rPr>
        <w:t xml:space="preserve">; or (iii) products defined in RCW 19.27.570(1)</w:t>
      </w:r>
      <w:r>
        <w:rPr/>
        <w:t xml:space="preserve">;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at wholesale: (i) Timber extracted by that person; (ii) timber products manufactured by that person from timber or other timber products; </w:t>
      </w:r>
      <w:r>
        <w:t>((</w:t>
      </w:r>
      <w:r>
        <w:rPr>
          <w:strike/>
        </w:rPr>
        <w:t xml:space="preserve">or</w:t>
      </w:r>
      <w:r>
        <w:t>))</w:t>
      </w:r>
      <w:r>
        <w:rPr/>
        <w:t xml:space="preserve"> (iii) wood products manufactured by that person from timber or timber products; </w:t>
      </w:r>
      <w:r>
        <w:rPr>
          <w:u w:val="single"/>
        </w:rPr>
        <w:t xml:space="preserve">or (iv) products defined in RCW 19.27.570(1) manufactured by that person</w:t>
      </w:r>
      <w:r>
        <w:rPr/>
        <w:t xml:space="preserve"> as to such persons the amount of the tax with respect to the business is equal to the gross proceeds of sales of the timber, timber products, </w:t>
      </w:r>
      <w:r>
        <w:t>((</w:t>
      </w:r>
      <w:r>
        <w:rPr>
          <w:strike/>
        </w:rPr>
        <w:t xml:space="preserve">or</w:t>
      </w:r>
      <w:r>
        <w:t>))</w:t>
      </w:r>
      <w:r>
        <w:rPr/>
        <w:t xml:space="preserve"> wood products</w:t>
      </w:r>
      <w:r>
        <w:rPr>
          <w:u w:val="single"/>
        </w:rPr>
        <w:t xml:space="preserve">, or products defined in RCW 19.27.570(1)</w:t>
      </w:r>
      <w:r>
        <w:rPr/>
        <w:t xml:space="preserve">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u w:val="single"/>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r>
        <w:rPr>
          <w:u w:val="single"/>
        </w:rPr>
        <w:t xml:space="preserve">, with any receipts above eight million dollars per biennium specifically used as additional funding for tribal participation grants</w:t>
      </w:r>
      <w:r>
        <w:rPr/>
        <w:t xml:space="preserve">.</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w:t>
      </w:r>
      <w:r>
        <w:rPr>
          <w:u w:val="single"/>
        </w:rPr>
        <w:t xml:space="preserve">Before July 1, 2024, r</w:t>
      </w:r>
      <w:r>
        <w:rPr/>
        <w:t xml:space="preserve">eceipts from the surcharge total at least eight million </w:t>
      </w:r>
      <w:r>
        <w:rPr>
          <w:u w:val="single"/>
        </w:rPr>
        <w:t xml:space="preserve">five hundred thousand</w:t>
      </w:r>
      <w:r>
        <w:rPr/>
        <w:t xml:space="preserve"> dollars during any fiscal biennium; </w:t>
      </w:r>
      <w:r>
        <w:t>((</w:t>
      </w:r>
      <w:r>
        <w:rPr>
          <w:strike/>
        </w:rPr>
        <w:t xml:space="preserve">or</w:t>
      </w:r>
      <w:r>
        <w:t>))</w:t>
      </w:r>
    </w:p>
    <w:p>
      <w:pPr>
        <w:spacing w:before="0" w:after="0" w:line="408" w:lineRule="exact"/>
        <w:ind w:left="0" w:right="0" w:firstLine="576"/>
        <w:jc w:val="left"/>
      </w:pPr>
      <w:r>
        <w:rPr/>
        <w:t xml:space="preserve">(ii) </w:t>
      </w:r>
      <w:r>
        <w:t>((</w:t>
      </w:r>
      <w:r>
        <w:rPr>
          <w:strike/>
        </w:rPr>
        <w:t xml:space="preserve">The office of financial management certifies to the department that the federal government has appropriated at least two million dollars for participation in forest and fish report-related activities by federally recognized Indian tribes located within the geographical boundaries of the state of Washington for any federal fiscal year.</w:t>
      </w:r>
      <w:r>
        <w:t>))</w:t>
      </w:r>
      <w:r>
        <w:rPr/>
        <w:t xml:space="preserve"> </w:t>
      </w:r>
      <w:r>
        <w:rPr>
          <w:u w:val="single"/>
        </w:rPr>
        <w:t xml:space="preserve">Between July 1, 2024, and July 30, 2029, receipts from the surcharge total at least nine million dollars during any fiscal biennium; and</w:t>
      </w:r>
    </w:p>
    <w:p>
      <w:pPr>
        <w:spacing w:before="0" w:after="0" w:line="408" w:lineRule="exact"/>
        <w:ind w:left="0" w:right="0" w:firstLine="576"/>
        <w:jc w:val="left"/>
      </w:pPr>
      <w:r>
        <w:rPr>
          <w:u w:val="single"/>
        </w:rPr>
        <w:t xml:space="preserve">(iii) After July 30, 2029, the receipts from the surcharge total at least nine million five hundred thousand dollars during any fiscal biennium.</w:t>
      </w:r>
    </w:p>
    <w:p>
      <w:pPr>
        <w:spacing w:before="0" w:after="0" w:line="408" w:lineRule="exact"/>
        <w:ind w:left="0" w:right="0" w:firstLine="576"/>
        <w:jc w:val="left"/>
      </w:pPr>
      <w:r>
        <w:rPr/>
        <w:t xml:space="preserve">(b)</w:t>
      </w:r>
      <w:r>
        <w:t>((</w:t>
      </w:r>
      <w:r>
        <w:rPr>
          <w:strike/>
        </w:rPr>
        <w:t xml:space="preserve">(i)</w:t>
      </w:r>
      <w:r>
        <w:t>))</w:t>
      </w:r>
      <w:r>
        <w:rPr/>
        <w:t xml:space="preserve"> The suspension of the surcharge under </w:t>
      </w:r>
      <w:r>
        <w:t>((</w:t>
      </w:r>
      <w:r>
        <w:rPr>
          <w:strike/>
        </w:rPr>
        <w:t xml:space="preserve">(a)(i) of</w:t>
      </w:r>
      <w:r>
        <w:t>))</w:t>
      </w:r>
      <w:r>
        <w:rPr/>
        <w:t xml:space="preserve"> this subsection (3) takes effect on the first day of the calendar month that is at least thirty days after the end of the month during which the department determines that receipts from the surcharge total </w:t>
      </w:r>
      <w:r>
        <w:t>((</w:t>
      </w:r>
      <w:r>
        <w:rPr>
          <w:strike/>
        </w:rPr>
        <w:t xml:space="preserve">at least eight million dollars</w:t>
      </w:r>
      <w:r>
        <w:t>))</w:t>
      </w:r>
      <w:r>
        <w:rPr/>
        <w:t xml:space="preserve"> </w:t>
      </w:r>
      <w:r>
        <w:rPr>
          <w:u w:val="single"/>
        </w:rPr>
        <w:t xml:space="preserve">the values specified in this subsection (3)</w:t>
      </w:r>
      <w:r>
        <w:rPr/>
        <w:t xml:space="preserve"> during the fiscal biennium. The surcharge is imposed again at the beginning of the following fiscal biennium.</w:t>
      </w:r>
    </w:p>
    <w:p>
      <w:pPr>
        <w:spacing w:before="0" w:after="0" w:line="408" w:lineRule="exact"/>
        <w:ind w:left="0" w:right="0" w:firstLine="576"/>
        <w:jc w:val="left"/>
      </w:pPr>
      <w:r>
        <w:t>((</w:t>
      </w:r>
      <w:r>
        <w:rPr>
          <w:strike/>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strike/>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strike/>
        </w:rPr>
        <w:t xml:space="preserve">(4)(a) If, by October 1st of any federal fiscal year, the office of financial management certifies to the department that the federal government has appropriated funds for participation in forest and fish report</w:t>
      </w:r>
      <w:r>
        <w:rPr/>
        <w:noBreakHyphen/>
      </w:r>
      <w:r>
        <w:rPr>
          <w:strike/>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strike/>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strike/>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strike/>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strike/>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strike/>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strike/>
        </w:rPr>
        <w:t xml:space="preserve">(5) The office of financial management must make the certification to the department as to the status of federal appropriations for tribal participation in forest and fish report-related activities.</w:t>
      </w:r>
      <w:r>
        <w:t>))</w:t>
      </w:r>
    </w:p>
    <w:p>
      <w:pPr>
        <w:spacing w:before="0" w:after="0" w:line="408" w:lineRule="exact"/>
        <w:ind w:left="0" w:right="0" w:firstLine="576"/>
        <w:jc w:val="left"/>
      </w:pPr>
      <w:r>
        <w:rPr>
          <w:u w:val="single"/>
        </w:rPr>
        <w:t xml:space="preserve">(4) This section expires July 1, 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E3SHB 1324</w:t>
      </w:r>
      <w:r>
        <w:t xml:space="preserve"> -</w:t>
      </w:r>
      <w:r>
        <w:t xml:space="preserve"> </w:t>
        <w:t xml:space="preserve">S AMD</w:t>
      </w:r>
      <w:r>
        <w:t xml:space="preserve"> </w:t>
      </w:r>
      <w:r>
        <w:rPr>
          <w:b/>
        </w:rPr>
        <w:t xml:space="preserve">593</w:t>
      </w:r>
    </w:p>
    <w:p>
      <w:pPr>
        <w:spacing w:before="0" w:after="0" w:line="408" w:lineRule="exact"/>
        <w:ind w:left="0" w:right="0" w:firstLine="576"/>
        <w:jc w:val="left"/>
      </w:pPr>
      <w:r>
        <w:rPr/>
        <w:t xml:space="preserve">By Senator Van De Wege</w:t>
      </w:r>
    </w:p>
    <w:p>
      <w:pPr>
        <w:jc w:val="right"/>
      </w:pPr>
      <w:r>
        <w:rPr>
          <w:b/>
        </w:rPr>
        <w:t xml:space="preserve">WITHDRAWN 04/16/2019</w:t>
      </w:r>
    </w:p>
    <w:p>
      <w:pPr>
        <w:spacing w:before="0" w:after="0" w:line="408" w:lineRule="exact"/>
        <w:ind w:left="0" w:right="0" w:firstLine="576"/>
        <w:jc w:val="left"/>
      </w:pPr>
      <w:r>
        <w:rPr/>
        <w:t xml:space="preserve">On page 1, line 2 of the title, after "act;" strike the remainder of the title and insert "amending RCW 82.04.260 and 82.04.261; creating new sections; and providing an expiration date."</w:t>
      </w:r>
    </w:p>
    <w:p>
      <w:pPr>
        <w:spacing w:before="0" w:after="0" w:line="408" w:lineRule="exact"/>
        <w:ind w:left="0" w:right="0" w:firstLine="576"/>
        <w:jc w:val="left"/>
      </w:pPr>
      <w:r>
        <w:rPr>
          <w:u w:val="single"/>
        </w:rPr>
        <w:t xml:space="preserve">EFFECT:</w:t>
      </w:r>
      <w:r>
        <w:rPr/>
        <w:t xml:space="preserve"> (1) Directs the Washington State Institute for Public Policy to conduct a study on certain programs incentivizing private investment and job creation in rural and distressed communities.</w:t>
      </w:r>
    </w:p>
    <w:p>
      <w:pPr>
        <w:spacing w:before="0" w:after="0" w:line="408" w:lineRule="exact"/>
        <w:ind w:left="0" w:right="0" w:firstLine="576"/>
        <w:jc w:val="left"/>
      </w:pPr>
      <w:r>
        <w:rPr/>
        <w:t xml:space="preserve">(2) Removes language creating the Rural Development and Distressed Opportunity Zone Program.</w:t>
      </w:r>
    </w:p>
    <w:p>
      <w:pPr>
        <w:spacing w:before="0" w:after="0" w:line="408" w:lineRule="exact"/>
        <w:ind w:left="0" w:right="0" w:firstLine="576"/>
        <w:jc w:val="left"/>
      </w:pPr>
      <w:r>
        <w:rPr/>
        <w:t xml:space="preserve">(3) Extends the preferential B&amp;O rate for timber products to mass timber products.</w:t>
      </w:r>
    </w:p>
    <w:p>
      <w:pPr>
        <w:spacing w:before="0" w:after="0" w:line="408" w:lineRule="exact"/>
        <w:ind w:left="0" w:right="0" w:firstLine="576"/>
        <w:jc w:val="left"/>
      </w:pPr>
      <w:r>
        <w:rPr/>
        <w:t xml:space="preserve">(4) Eliminates the requirement that the forest and fish B&amp;O surtax is suspended if the federal government appropriates at least two million dollars for participation in forest and fish report related activities by federally recognized Indian tribes.</w:t>
      </w:r>
    </w:p>
    <w:p>
      <w:pPr>
        <w:spacing w:before="0" w:after="0" w:line="408" w:lineRule="exact"/>
        <w:ind w:left="0" w:right="0" w:firstLine="576"/>
        <w:jc w:val="left"/>
      </w:pPr>
      <w:r>
        <w:rPr/>
        <w:t xml:space="preserve">(5) Requires that any receipts of the surtax above $8 million in a biennium must be used specifically for tribal participation grants.</w:t>
      </w:r>
    </w:p>
    <w:p>
      <w:pPr>
        <w:spacing w:before="0" w:after="0" w:line="408" w:lineRule="exact"/>
        <w:ind w:left="0" w:right="0" w:firstLine="576"/>
        <w:jc w:val="left"/>
      </w:pPr>
      <w:r>
        <w:rPr/>
        <w:t xml:space="preserve">(6) Increases the biennial B&amp;O surtax collection threshold that triggers the suspension of the surtax as follows:</w:t>
      </w:r>
    </w:p>
    <w:p>
      <w:pPr>
        <w:spacing w:before="0" w:after="0" w:line="408" w:lineRule="exact"/>
        <w:ind w:left="0" w:right="0" w:firstLine="576"/>
        <w:jc w:val="left"/>
      </w:pPr>
      <w:r>
        <w:rPr/>
        <w:t xml:space="preserve">(a) In 2019, the threshold is increased from $8 million to $8.5 million;</w:t>
      </w:r>
    </w:p>
    <w:p>
      <w:pPr>
        <w:spacing w:before="0" w:after="0" w:line="408" w:lineRule="exact"/>
        <w:ind w:left="0" w:right="0" w:firstLine="576"/>
        <w:jc w:val="left"/>
      </w:pPr>
      <w:r>
        <w:rPr/>
        <w:t xml:space="preserve">(b) In 2024, the threshold is increased from $8.5 million to $9.0 million; and</w:t>
      </w:r>
    </w:p>
    <w:p>
      <w:pPr>
        <w:spacing w:before="0" w:after="0" w:line="408" w:lineRule="exact"/>
        <w:ind w:left="0" w:right="0" w:firstLine="576"/>
        <w:jc w:val="left"/>
      </w:pPr>
      <w:r>
        <w:rPr/>
        <w:t xml:space="preserve">(c) In 2029, the threshold is increased from $9.0 million to $9.5 million.</w:t>
      </w:r>
    </w:p>
    <w:p>
      <w:pPr>
        <w:spacing w:before="0" w:after="0" w:line="408" w:lineRule="exact"/>
        <w:ind w:left="0" w:right="0" w:firstLine="576"/>
        <w:jc w:val="left"/>
      </w:pPr>
      <w:r>
        <w:rPr/>
        <w:t xml:space="preserve">(7) Extends the expiration date for the timber tax incentives from 2036 to 2045.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6f20613084596" /></Relationships>
</file>