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af1e70cc20427d" /></Relationships>
</file>

<file path=word/document.xml><?xml version="1.0" encoding="utf-8"?>
<w:document xmlns:w="http://schemas.openxmlformats.org/wordprocessingml/2006/main">
  <w:body>
    <w:p>
      <w:r>
        <w:rPr>
          <w:b/>
        </w:rPr>
        <w:r>
          <w:rPr/>
          <w:t xml:space="preserve">1257-S3.E</w:t>
        </w:r>
      </w:r>
      <w:r>
        <w:rPr>
          <w:b/>
        </w:rPr>
        <w:t xml:space="preserve"> </w:t>
        <w:t xml:space="preserve">AMS</w:t>
      </w:r>
      <w:r>
        <w:rPr>
          <w:b/>
        </w:rPr>
        <w:t xml:space="preserve"> </w:t>
        <w:r>
          <w:rPr/>
          <w:t xml:space="preserve">WM</w:t>
        </w:r>
      </w:r>
      <w:r>
        <w:rPr>
          <w:b/>
        </w:rPr>
        <w:t xml:space="preserve"> </w:t>
        <w:r>
          <w:rPr/>
          <w:t xml:space="preserve">S3926.1</w:t>
        </w:r>
      </w:r>
      <w:r>
        <w:rPr>
          <w:b/>
        </w:rPr>
        <w:t xml:space="preserve"> - NOT FOR FLOOR USE</w:t>
      </w:r>
    </w:p>
    <w:p>
      <w:pPr>
        <w:ind w:left="0" w:right="0" w:firstLine="576"/>
      </w:pPr>
    </w:p>
    <w:p>
      <w:pPr>
        <w:spacing w:before="480" w:after="0" w:line="408" w:lineRule="exact"/>
      </w:pPr>
      <w:r>
        <w:rPr>
          <w:b/>
          <w:u w:val="single"/>
        </w:rPr>
        <w:t xml:space="preserve">E3SHB 1257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state policy encouraging energy efficiency has been extremely successful in reducing energy use, avoiding costly investment in new generating capacity, lowering customer energy bills, and reducing air pollution and greenhouse gas emissions. The state's 2019 biennial energy report indicates that utility conservation investments under chapter 19.285 RCW, the energy independence act, now save consumers more than seven hundred fifty million dollars annually, helping to keep Washington's electricity prices among the lowest in the nation.</w:t>
      </w:r>
    </w:p>
    <w:p>
      <w:pPr>
        <w:spacing w:before="0" w:after="0" w:line="408" w:lineRule="exact"/>
        <w:ind w:left="0" w:right="0" w:firstLine="576"/>
        <w:jc w:val="left"/>
      </w:pPr>
      <w:r>
        <w:rPr/>
        <w:t xml:space="preserve">(2) Studies by the Northwest power and conservation council and by individual Washington utilities repeatedly show that efficiency is the region's largest, cheapest, lowest risk energy resource; that without it, the Northwest would have needed to invest in additional natural gas-fired generation; and that, looking ahead, efficiency can approach the size of the region's hydropower system as a regional resource. The Northwest power and conservation council forecasts that with an aggressive new energy efficiency policy, the region can potentially meet one hundred percent of its electricity load growth over the next twenty years with energy efficiency.</w:t>
      </w:r>
    </w:p>
    <w:p>
      <w:pPr>
        <w:spacing w:before="0" w:after="0" w:line="408" w:lineRule="exact"/>
        <w:ind w:left="0" w:right="0" w:firstLine="576"/>
        <w:jc w:val="left"/>
      </w:pPr>
      <w:r>
        <w:rPr/>
        <w:t xml:space="preserve">(3) Energy efficiency investments that reduce energy use in buildings bring cobenefits that directly impact Washingtonians' quality of life. These benefits include improved indoor air quality, more comfortable homes and workplaces, and lower tenant energy bills. The legislature notes that according to the United States department of energy's energy and employment report, 2017, the energy efficiency sector has created more than sixty-five thousand jobs in the state, more than two-thirds of which are in the construction sector, and that the number continues to grow.</w:t>
      </w:r>
    </w:p>
    <w:p>
      <w:pPr>
        <w:spacing w:before="0" w:after="0" w:line="408" w:lineRule="exact"/>
        <w:ind w:left="0" w:right="0" w:firstLine="576"/>
        <w:jc w:val="left"/>
      </w:pPr>
      <w:r>
        <w:rPr/>
        <w:t xml:space="preserve">(4) Considering the benefits of and the need for additional energy efficiency to meet regional energy demand, the legislature notes that attaining as much of this resource as possible from the buildings sector can have a significant effect on state greenhouse gas emissions by deferring or displacing the need for natural gas-fired electricity generation and reducing the direct use of natural gas. Buildings represent the second largest source of greenhouse gas emissions in Washington and emissions from the buildings sector have grown by fifty percent since 1990, far outpacing all other emission sources.</w:t>
      </w:r>
    </w:p>
    <w:p>
      <w:pPr>
        <w:spacing w:before="0" w:after="0" w:line="408" w:lineRule="exact"/>
        <w:ind w:left="0" w:right="0" w:firstLine="576"/>
        <w:jc w:val="left"/>
      </w:pPr>
      <w:r>
        <w:rPr/>
        <w:t xml:space="preserve">(5) The legislature therefore determines that it is in the state's interest to maximize the full potential of energy efficiency standards, retrofit incentives, utility programs, and building codes to keep energy costs low and to meet statutory goals for increased building efficiency and reduced greenhouse gas emissions.</w:t>
      </w:r>
    </w:p>
    <w:p>
      <w:pPr>
        <w:spacing w:before="0" w:after="0" w:line="408" w:lineRule="exact"/>
        <w:ind w:left="0" w:right="0" w:firstLine="576"/>
        <w:jc w:val="left"/>
      </w:pPr>
      <w:r>
        <w:rPr/>
        <w:t xml:space="preserve">(6) It is the intent of this act to provide incentives and regulations that encourage greater energy efficiency in all aspects of new and existing buildings, including building design, energy delivery, and utilization and operations. This act:</w:t>
      </w:r>
    </w:p>
    <w:p>
      <w:pPr>
        <w:spacing w:before="0" w:after="0" w:line="408" w:lineRule="exact"/>
        <w:ind w:left="0" w:right="0" w:firstLine="576"/>
        <w:jc w:val="left"/>
      </w:pPr>
      <w:r>
        <w:rPr/>
        <w:t xml:space="preserve">(a) Establishes energy performance standards for larger existing commercial buildings;</w:t>
      </w:r>
    </w:p>
    <w:p>
      <w:pPr>
        <w:spacing w:before="0" w:after="0" w:line="408" w:lineRule="exact"/>
        <w:ind w:left="0" w:right="0" w:firstLine="576"/>
        <w:jc w:val="left"/>
      </w:pPr>
      <w:r>
        <w:rPr/>
        <w:t xml:space="preserve">(b) Provides financial incentives and technical assistance for building owners taking early action to meet these standards before they are required to be met;</w:t>
      </w:r>
    </w:p>
    <w:p>
      <w:pPr>
        <w:spacing w:before="0" w:after="0" w:line="408" w:lineRule="exact"/>
        <w:ind w:left="0" w:right="0" w:firstLine="576"/>
        <w:jc w:val="left"/>
      </w:pPr>
      <w:r>
        <w:rPr/>
        <w:t xml:space="preserve">(c) Enhances access to commercial building energy consumption data in order to assist with monitoring progress toward meeting energy performance standards; and</w:t>
      </w:r>
    </w:p>
    <w:p>
      <w:pPr>
        <w:spacing w:before="0" w:after="0" w:line="408" w:lineRule="exact"/>
        <w:ind w:left="0" w:right="0" w:firstLine="576"/>
        <w:jc w:val="left"/>
      </w:pPr>
      <w:r>
        <w:rPr/>
        <w:t xml:space="preserve">(d) Establishes efficiency performance requirements for natural gas distribution companies, recognizing the significant contribution of natural gas to the state's greenhouse gas emissions, the role that natural gas plays in heating buildings and powering equipment within buildings across the state, and the greenhouse gas reduction benefits associated with substituting renewable natural gas for fossil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6 of this act unless the context clearly requires otherwise.</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and that is not a place used by the public or a place of human habitation or employment where agricultural products are processed, treated, or packaged.</w:t>
      </w:r>
    </w:p>
    <w:p>
      <w:pPr>
        <w:spacing w:before="0" w:after="0" w:line="408" w:lineRule="exact"/>
        <w:ind w:left="0" w:right="0" w:firstLine="576"/>
        <w:jc w:val="left"/>
      </w:pPr>
      <w:r>
        <w:rPr/>
        <w:t xml:space="preserve">(2) "Baseline energy use intensity" means a building's weather normalized energy use intensity measured the previous year to making an application for an incentive under section 4 of this act.</w:t>
      </w:r>
    </w:p>
    <w:p>
      <w:pPr>
        <w:spacing w:before="0" w:after="0" w:line="408" w:lineRule="exact"/>
        <w:ind w:left="0" w:right="0" w:firstLine="576"/>
        <w:jc w:val="left"/>
      </w:pPr>
      <w:r>
        <w:rPr/>
        <w:t xml:space="preserve">(3) "Building owner" means an individual or entity possessing title to a building.</w:t>
      </w:r>
    </w:p>
    <w:p>
      <w:pPr>
        <w:spacing w:before="0" w:after="0" w:line="408" w:lineRule="exact"/>
        <w:ind w:left="0" w:right="0" w:firstLine="576"/>
        <w:jc w:val="left"/>
      </w:pPr>
      <w:r>
        <w:rPr/>
        <w:t xml:space="preserve">(4) "Building tenant" means a person or entity occupying or holding possession of a building or premises pursuant to a rental agreement.</w:t>
      </w:r>
    </w:p>
    <w:p>
      <w:pPr>
        <w:spacing w:before="0" w:after="0" w:line="408" w:lineRule="exact"/>
        <w:ind w:left="0" w:right="0" w:firstLine="576"/>
        <w:jc w:val="left"/>
      </w:pPr>
      <w:r>
        <w:rPr/>
        <w:t xml:space="preserve">(5) "Conditional compliance" means a temporary compliance method used by building owners that demonstrate the owner has implemented energy use reduction strategies required by the standard, but has not demonstrated full compliance with the energy use intensity target.</w:t>
      </w:r>
    </w:p>
    <w:p>
      <w:pPr>
        <w:spacing w:before="0" w:after="0" w:line="408" w:lineRule="exact"/>
        <w:ind w:left="0" w:right="0" w:firstLine="576"/>
        <w:jc w:val="left"/>
      </w:pPr>
      <w:r>
        <w:rPr/>
        <w:t xml:space="preserve">(6) "Consumer-owned utility" has the same meaning as defined in RCW 19.27A.140.</w:t>
      </w:r>
    </w:p>
    <w:p>
      <w:pPr>
        <w:spacing w:before="0" w:after="0" w:line="408" w:lineRule="exact"/>
        <w:ind w:left="0" w:right="0" w:firstLine="576"/>
        <w:jc w:val="left"/>
      </w:pPr>
      <w:r>
        <w:rPr/>
        <w:t xml:space="preserve">(7) "Covered commercial building" means a building where the sum of nonresidential, hotel, motel, and dormitory floor areas exceeds fifty thousand gross square feet, excluding the parking garage area.</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"Director" means the director of the department of commerce or the director's designee.</w:t>
      </w:r>
    </w:p>
    <w:p>
      <w:pPr>
        <w:spacing w:before="0" w:after="0" w:line="408" w:lineRule="exact"/>
        <w:ind w:left="0" w:right="0" w:firstLine="576"/>
        <w:jc w:val="left"/>
      </w:pPr>
      <w:r>
        <w:rPr/>
        <w:t xml:space="preserve">(10) "Electric utility" means a consumer-owned utility or an investor-owned utility.</w:t>
      </w:r>
    </w:p>
    <w:p>
      <w:pPr>
        <w:spacing w:before="0" w:after="0" w:line="408" w:lineRule="exact"/>
        <w:ind w:left="0" w:right="0" w:firstLine="576"/>
        <w:jc w:val="left"/>
      </w:pPr>
      <w:r>
        <w:rPr/>
        <w:t xml:space="preserve">(11) "Eligible building owner" means: (a) The owner of a covered commercial building required to comply with the standard established in section 3 of this act; or (b) the owner of a multifamily residential building where the floor area exceeds fifty thousand gross square feet, excluding the parking garage area.</w:t>
      </w:r>
    </w:p>
    <w:p>
      <w:pPr>
        <w:spacing w:before="0" w:after="0" w:line="408" w:lineRule="exact"/>
        <w:ind w:left="0" w:right="0" w:firstLine="576"/>
        <w:jc w:val="left"/>
      </w:pPr>
      <w:r>
        <w:rPr/>
        <w:t xml:space="preserve">(12) "Energy" includes: Electricity, including electricity delivered through the electric grid and electricity generated at the building premises using solar or wind energy resources; natural gas; district steam; district hot water; district chilled water; propane; fuel oil; wood; coal; or other fuels used to meet the energy loads of a building.</w:t>
      </w:r>
    </w:p>
    <w:p>
      <w:pPr>
        <w:spacing w:before="0" w:after="0" w:line="408" w:lineRule="exact"/>
        <w:ind w:left="0" w:right="0" w:firstLine="576"/>
        <w:jc w:val="left"/>
      </w:pPr>
      <w:r>
        <w:rPr/>
        <w:t xml:space="preserve">(13) "Energy use intensity" means a measurement that normalizes a building's site energy use relative to its size. A building's energy use intensity is calculated by dividing the total net energy consumed in one year by the gross floor area of the building, excluding the parking garage. "Energy use intensity" is reported as a value of thousand British thermal units per square foot per year.</w:t>
      </w:r>
    </w:p>
    <w:p>
      <w:pPr>
        <w:spacing w:before="0" w:after="0" w:line="408" w:lineRule="exact"/>
        <w:ind w:left="0" w:right="0" w:firstLine="576"/>
        <w:jc w:val="left"/>
      </w:pPr>
      <w:r>
        <w:rPr/>
        <w:t xml:space="preserve">(14) "Energy use intensity target" means the net energy use intensity of a covered commercial building that has been established for the purposes of complying with the standard established under section 3 of this act.</w:t>
      </w:r>
    </w:p>
    <w:p>
      <w:pPr>
        <w:spacing w:before="0" w:after="0" w:line="408" w:lineRule="exact"/>
        <w:ind w:left="0" w:right="0" w:firstLine="576"/>
        <w:jc w:val="left"/>
      </w:pPr>
      <w:r>
        <w:rPr/>
        <w:t xml:space="preserve">(15)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(16) "Greenhouse gas" includes carbon dioxide, methane, nitrous oxide, hydrofluorocarbons, perfluorocarbons, and sulfur hexafluoride.</w:t>
      </w:r>
    </w:p>
    <w:p>
      <w:pPr>
        <w:spacing w:before="0" w:after="0" w:line="408" w:lineRule="exact"/>
        <w:ind w:left="0" w:right="0" w:firstLine="576"/>
        <w:jc w:val="left"/>
      </w:pPr>
      <w:r>
        <w:rPr/>
        <w:t xml:space="preserve">(17)(a) "Gross floor area" means the total number of square feet measured between the exterior surfaces of the enclosing fixed walls of a building, including all supporting functions such as offices, lobbies, restrooms, equipment storage areas, mechanical rooms, break rooms, and elevator shafts.</w:t>
      </w:r>
    </w:p>
    <w:p>
      <w:pPr>
        <w:spacing w:before="0" w:after="0" w:line="408" w:lineRule="exact"/>
        <w:ind w:left="0" w:right="0" w:firstLine="576"/>
        <w:jc w:val="left"/>
      </w:pPr>
      <w:r>
        <w:rPr/>
        <w:t xml:space="preserve">(b) "Gross floor area" does not include outside bays or docks.</w:t>
      </w:r>
    </w:p>
    <w:p>
      <w:pPr>
        <w:spacing w:before="0" w:after="0" w:line="408" w:lineRule="exact"/>
        <w:ind w:left="0" w:right="0" w:firstLine="576"/>
        <w:jc w:val="left"/>
      </w:pPr>
      <w:r>
        <w:rPr/>
        <w:t xml:space="preserve">(18) "Investor-owned utility" means a company owned by investors, that meets one of the definitions of RCW 80.04.010, and that is engaged in distributing electricity to more than one retail electric customer in the state.</w:t>
      </w:r>
    </w:p>
    <w:p>
      <w:pPr>
        <w:spacing w:before="0" w:after="0" w:line="408" w:lineRule="exact"/>
        <w:ind w:left="0" w:right="0" w:firstLine="576"/>
        <w:jc w:val="left"/>
      </w:pPr>
      <w:r>
        <w:rPr/>
        <w:t xml:space="preserve">(19) "Multifamily residential building" means a building containing sleeping units or more than two dwelling units where occupants are primarily permanent in nature.</w:t>
      </w:r>
    </w:p>
    <w:p>
      <w:pPr>
        <w:spacing w:before="0" w:after="0" w:line="408" w:lineRule="exact"/>
        <w:ind w:left="0" w:right="0" w:firstLine="576"/>
        <w:jc w:val="left"/>
      </w:pPr>
      <w:r>
        <w:rPr/>
        <w:t xml:space="preserve">(20) "Net energy use" means the sum of metered and bulk fuel energy entering the building, minus the sum of metered energy leaving the building.</w:t>
      </w:r>
    </w:p>
    <w:p>
      <w:pPr>
        <w:spacing w:before="0" w:after="0" w:line="408" w:lineRule="exact"/>
        <w:ind w:left="0" w:right="0" w:firstLine="576"/>
        <w:jc w:val="left"/>
      </w:pPr>
      <w:r>
        <w:rPr/>
        <w:t xml:space="preserve">(21)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(22) "Savings-to-investment ratio" means the ratio of the total present value savings to the total present value costs of a bundle of an energy or water conservation measure estimated over the projected useful life of each measure. The numerator of the ratio is the present value of net savings in energy or water and nonfuel or nonwater operation and maintenance costs attributable to the proposed energy or water conservation measure. The denominator of the ratio is the present value of the net increase in investment and replacement costs less salvage value attributable to the proposed energy or water conservation measure.</w:t>
      </w:r>
    </w:p>
    <w:p>
      <w:pPr>
        <w:spacing w:before="0" w:after="0" w:line="408" w:lineRule="exact"/>
        <w:ind w:left="0" w:right="0" w:firstLine="576"/>
        <w:jc w:val="left"/>
      </w:pPr>
      <w:r>
        <w:rPr/>
        <w:t xml:space="preserve">(23) "Standard" means the state energy performance standard for covered commercial buildings established under section 3 of this act.</w:t>
      </w:r>
    </w:p>
    <w:p>
      <w:pPr>
        <w:spacing w:before="0" w:after="0" w:line="408" w:lineRule="exact"/>
        <w:ind w:left="0" w:right="0" w:firstLine="576"/>
        <w:jc w:val="left"/>
      </w:pPr>
      <w:r>
        <w:rPr/>
        <w:t xml:space="preserve">(24) "Thermal energy company" has the same meaning as defined in RCW 80.04.550.</w:t>
      </w:r>
    </w:p>
    <w:p>
      <w:pPr>
        <w:spacing w:before="0" w:after="0" w:line="408" w:lineRule="exact"/>
        <w:ind w:left="0" w:right="0" w:firstLine="576"/>
        <w:jc w:val="left"/>
      </w:pPr>
      <w:r>
        <w:rPr/>
        <w:t xml:space="preserve">(25) "Weather normalized" means a method for modifying the measured building energy use in a specific weather year to energy use under normal weather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By November 1, 2020, the department must establish by rule a state energy performance standard for covered commercial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commercial building occupancy type with adjustments for unique energy using features. The department must also develop energy use intensity targets for additional property types eligible for incentives in section 4 of this act. The department must consider regional and local building energy utilization data, such as existing energy star benchmarking data, in establishing targets for the standard. Energy use intensity targets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100-2018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for more recently built covered commercial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commercial buildings that do not meet the specified energy use intensity targets are taking action to achieve reduction in energy use, including investment criteria for conditional compliance that ensure that energy efficiency measures identified by energy audits are implemented to achieve a covered commercial building's energy use intensity target. The investment criteria must require that a building owner adopt an implementation plan to meet the energy intensity target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commercial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 The building owner of a covered commercial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rPr/>
        <w:t xml:space="preserve">(a) The weather normalized energy use intensity of the covered commercial building measured in the previous calendar year is less than or equal to the energy use intensity target; or</w:t>
      </w:r>
    </w:p>
    <w:p>
      <w:pPr>
        <w:spacing w:before="0" w:after="0" w:line="408" w:lineRule="exact"/>
        <w:ind w:left="0" w:right="0" w:firstLine="576"/>
        <w:jc w:val="left"/>
      </w:pPr>
      <w:r>
        <w:rPr/>
        <w:t xml:space="preserve">(b) The covered commercial building has received conditional compliance from the department based on energy efficiency actions prescribed by the standard; or</w:t>
      </w:r>
    </w:p>
    <w:p>
      <w:pPr>
        <w:spacing w:before="0" w:after="0" w:line="408" w:lineRule="exact"/>
        <w:ind w:left="0" w:right="0" w:firstLine="576"/>
        <w:jc w:val="left"/>
      </w:pPr>
      <w:r>
        <w:rPr/>
        <w:t xml:space="preserve">(c) The covered commercial building is exempt from the standard by demonstrating that the building meets one of the following criteria:</w:t>
      </w:r>
    </w:p>
    <w:p>
      <w:pPr>
        <w:spacing w:before="0" w:after="0" w:line="408" w:lineRule="exact"/>
        <w:ind w:left="0" w:right="0" w:firstLine="576"/>
        <w:jc w:val="left"/>
      </w:pPr>
      <w:r>
        <w:rPr/>
        <w:t xml:space="preserve">(i) The building did not have a certificate of occupancy or temporary certificate of occupancy for all twelve months of the calendar year prior to the building owner compliance schedule established under subsection (8) of this section;</w:t>
      </w:r>
    </w:p>
    <w:p>
      <w:pPr>
        <w:spacing w:before="0" w:after="0" w:line="408" w:lineRule="exact"/>
        <w:ind w:left="0" w:right="0" w:firstLine="576"/>
        <w:jc w:val="left"/>
      </w:pPr>
      <w:r>
        <w:rPr/>
        <w:t xml:space="preserve">(ii) The building did not have an average physical occupancy of at least fifty percent throughout the calendar year prior to the building owner compliance schedule established under subsection (8) of this section;</w:t>
      </w:r>
    </w:p>
    <w:p>
      <w:pPr>
        <w:spacing w:before="0" w:after="0" w:line="408" w:lineRule="exact"/>
        <w:ind w:left="0" w:right="0" w:firstLine="576"/>
        <w:jc w:val="left"/>
      </w:pPr>
      <w:r>
        <w:rPr/>
        <w:t xml:space="preserve">(iii) The sum of the buildings gross floor area minus unconditioned and semiconditioned spaces, as defined in the Washington state energy code, is less than fifty thousand square feet;</w:t>
      </w:r>
    </w:p>
    <w:p>
      <w:pPr>
        <w:spacing w:before="0" w:after="0" w:line="408" w:lineRule="exact"/>
        <w:ind w:left="0" w:right="0" w:firstLine="576"/>
        <w:jc w:val="left"/>
      </w:pPr>
      <w:r>
        <w:rPr/>
        <w:t xml:space="preserve">(iv) The primary use of the building is manufacturing or other industrial purposes, as defined under the following use designations of the international building code: (A) Factory group F; or (B) high hazard group H;</w:t>
      </w:r>
    </w:p>
    <w:p>
      <w:pPr>
        <w:spacing w:before="0" w:after="0" w:line="408" w:lineRule="exact"/>
        <w:ind w:left="0" w:right="0" w:firstLine="576"/>
        <w:jc w:val="left"/>
      </w:pPr>
      <w:r>
        <w:rPr/>
        <w:t xml:space="preserve">(v) The building is an agricultural structure; or</w:t>
      </w:r>
    </w:p>
    <w:p>
      <w:pPr>
        <w:spacing w:before="0" w:after="0" w:line="408" w:lineRule="exact"/>
        <w:ind w:left="0" w:right="0" w:firstLine="576"/>
        <w:jc w:val="left"/>
      </w:pPr>
      <w:r>
        <w:rPr/>
        <w:t xml:space="preserve">(vi) The building meets at least one of the following conditions of financial hardship: (A) The building had arrears of property taxes or water or wastewater charges that resulted in the building's inclusion, within the prior two years, on a city's or county's annual tax lien sale list; (B) the building has a court appointed receiver in control of the asset due to financial distress; (C) the building is owned by a financial institution through default by a borrower; (D) the building has been acquired by a deed in lieu of foreclosure within the previous twenty-four months; (E) the building has a senior mortgage subject to a notice of default; or (F) other conditions of financial hardship identified by the department by rule.</w:t>
      </w:r>
    </w:p>
    <w:p>
      <w:pPr>
        <w:spacing w:before="0" w:after="0" w:line="408" w:lineRule="exact"/>
        <w:ind w:left="0" w:right="0" w:firstLine="576"/>
        <w:jc w:val="left"/>
      </w:pPr>
      <w:r>
        <w:rPr/>
        <w:t xml:space="preserve">(8) A building owner of a covered commercial building must meet the following reporting schedule for complying with the standard established under this section:</w:t>
      </w:r>
    </w:p>
    <w:p>
      <w:pPr>
        <w:spacing w:before="0" w:after="0" w:line="408" w:lineRule="exact"/>
        <w:ind w:left="0" w:right="0" w:firstLine="576"/>
        <w:jc w:val="left"/>
      </w:pPr>
      <w:r>
        <w:rPr/>
        <w:t xml:space="preserve">(a) For a building with more than two hundred twenty thousand gross square feet, June 1, 2026;</w:t>
      </w:r>
    </w:p>
    <w:p>
      <w:pPr>
        <w:spacing w:before="0" w:after="0" w:line="408" w:lineRule="exact"/>
        <w:ind w:left="0" w:right="0" w:firstLine="576"/>
        <w:jc w:val="left"/>
      </w:pPr>
      <w:r>
        <w:rPr/>
        <w:t xml:space="preserve">(b) For a building with more than ninety thousand gross square feet but less than two hundred twenty thousand and one gross square feet, June 1, 2027; and</w:t>
      </w:r>
    </w:p>
    <w:p>
      <w:pPr>
        <w:spacing w:before="0" w:after="0" w:line="408" w:lineRule="exact"/>
        <w:ind w:left="0" w:right="0" w:firstLine="576"/>
        <w:jc w:val="left"/>
      </w:pPr>
      <w:r>
        <w:rPr/>
        <w:t xml:space="preserve">(c) For a building with more than fifty thousand gross square feet but less than ninety thousand and one square feet, June 1, 2028.</w:t>
      </w:r>
    </w:p>
    <w:p>
      <w:pPr>
        <w:spacing w:before="0" w:after="0" w:line="408" w:lineRule="exact"/>
        <w:ind w:left="0" w:right="0" w:firstLine="576"/>
        <w:jc w:val="left"/>
      </w:pPr>
      <w:r>
        <w:rPr/>
        <w:t xml:space="preserve">(9)(a)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rPr/>
        <w:t xml:space="preserve">(10) The department is authorized to impose an administrative penalty upon a building owner for failing to submit documentation demonstrating compliance with the requirements of this section. The penalty may not exceed an amount equal to five thousand dollars plus an amount based on the duration of any continuing violation. The additional amount for a continuing violation may not exceed a daily amount equal to one dollar per year per gross square foot of floor area. The department may by rule increase the maximum penalty rates to adjust for the effects of inflation.</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70.164.030.</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commercial buildings;</w:t>
      </w:r>
    </w:p>
    <w:p>
      <w:pPr>
        <w:spacing w:before="0" w:after="0" w:line="408" w:lineRule="exact"/>
        <w:ind w:left="0" w:right="0" w:firstLine="576"/>
        <w:jc w:val="left"/>
      </w:pPr>
      <w:r>
        <w:rPr/>
        <w:t xml:space="preserve">(b) Rules necessary to enforce the standard established under this section; and</w:t>
      </w:r>
    </w:p>
    <w:p>
      <w:pPr>
        <w:spacing w:before="0" w:after="0" w:line="408" w:lineRule="exact"/>
        <w:ind w:left="0" w:right="0" w:firstLine="576"/>
        <w:jc w:val="left"/>
      </w:pPr>
      <w:r>
        <w:rPr/>
        <w:t xml:space="preserve">(c)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sections 4 and 5 of this act, and any other significant information associated with the implementation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 The department must establish a state energy performance standard early adoption incentive program consistent with the requirements of this section.</w:t>
      </w:r>
    </w:p>
    <w:p>
      <w:pPr>
        <w:spacing w:before="0" w:after="0" w:line="408" w:lineRule="exact"/>
        <w:ind w:left="0" w:right="0" w:firstLine="576"/>
        <w:jc w:val="left"/>
      </w:pPr>
      <w:r>
        <w:rPr/>
        <w:t xml:space="preserve">(2) The department must adopt application and reporting requirements for the incentive program. Building energy reporting for the incentive program must be consistent with the energy reporting requirements established under section 3 of this act.</w:t>
      </w:r>
    </w:p>
    <w:p>
      <w:pPr>
        <w:spacing w:before="0" w:after="0" w:line="408" w:lineRule="exact"/>
        <w:ind w:left="0" w:right="0" w:firstLine="576"/>
        <w:jc w:val="left"/>
      </w:pPr>
      <w:r>
        <w:rPr/>
        <w:t xml:space="preserve">(3) Upon receiving documentation demonstrating that a building owner qualifies for an incentive under this section, the department must authorize each applicable entity administering incentive payments, as provided in section 6 of this act, to make an incentive payment to the building owner. When a building is served by more than one entity offering incentives or more than one type of fuel, incentive payments must be proportional to the energy use intensity reduction of each specific fuel provided by each entity.</w:t>
      </w:r>
    </w:p>
    <w:p>
      <w:pPr>
        <w:spacing w:before="0" w:after="0" w:line="408" w:lineRule="exact"/>
        <w:ind w:left="0" w:right="0" w:firstLine="576"/>
        <w:jc w:val="left"/>
      </w:pPr>
      <w:r>
        <w:rPr/>
        <w:t xml:space="preserve">(4) An eligible building owner may receive an incentive payment in the amounts specified in subsection (6) of this section only if the following requirements are met:</w:t>
      </w:r>
    </w:p>
    <w:p>
      <w:pPr>
        <w:spacing w:before="0" w:after="0" w:line="408" w:lineRule="exact"/>
        <w:ind w:left="0" w:right="0" w:firstLine="576"/>
        <w:jc w:val="left"/>
      </w:pPr>
      <w:r>
        <w:rPr/>
        <w:t xml:space="preserve">(a) The building is either: (i) A covered commercial building subject to the requirements of the standard established under section 3 of this act; or (ii) a multifamily residential building where the floor area exceeds fifty thousand gross square feet, excluding the parking garage area;</w:t>
      </w:r>
    </w:p>
    <w:p>
      <w:pPr>
        <w:spacing w:before="0" w:after="0" w:line="408" w:lineRule="exact"/>
        <w:ind w:left="0" w:right="0" w:firstLine="576"/>
        <w:jc w:val="left"/>
      </w:pPr>
      <w:r>
        <w:rPr/>
        <w:t xml:space="preserve">(b) The building's baseline energy use intensity exceeds its applicable energy use intensity target by at least fifteen energy use intensity units;</w:t>
      </w:r>
    </w:p>
    <w:p>
      <w:pPr>
        <w:spacing w:before="0" w:after="0" w:line="408" w:lineRule="exact"/>
        <w:ind w:left="0" w:right="0" w:firstLine="576"/>
        <w:jc w:val="left"/>
      </w:pPr>
      <w:r>
        <w:rPr/>
        <w:t xml:space="preserve">(c) At least one electric utility, gas company, or thermal energy company providing or delivering energy to the covered commercial building is participating in the incentive program by administering incentive payments as provided in section 6 of this act; and</w:t>
      </w:r>
    </w:p>
    <w:p>
      <w:pPr>
        <w:spacing w:before="0" w:after="0" w:line="408" w:lineRule="exact"/>
        <w:ind w:left="0" w:right="0" w:firstLine="576"/>
        <w:jc w:val="left"/>
      </w:pPr>
      <w:r>
        <w:rPr/>
        <w:t xml:space="preserve">(d) The building owner complies with any other requirements established by the department.</w:t>
      </w:r>
    </w:p>
    <w:p>
      <w:pPr>
        <w:spacing w:before="0" w:after="0" w:line="408" w:lineRule="exact"/>
        <w:ind w:left="0" w:right="0" w:firstLine="576"/>
        <w:jc w:val="left"/>
      </w:pPr>
      <w:r>
        <w:rPr/>
        <w:t xml:space="preserve">(5)(a) An eligible building owner who meets the requirements of subsection (4) of this section may submit an application to the department for an incentive payment in a form and manner prescribed by the department. The application must be submitted in accordance with the following schedule:</w:t>
      </w:r>
    </w:p>
    <w:p>
      <w:pPr>
        <w:spacing w:before="0" w:after="0" w:line="408" w:lineRule="exact"/>
        <w:ind w:left="0" w:right="0" w:firstLine="576"/>
        <w:jc w:val="left"/>
      </w:pPr>
      <w:r>
        <w:rPr/>
        <w:t xml:space="preserve">(i) For a building with more than two hundred twenty thousand gross square feet, beginning July 1, 2021, through June 1, 2025;</w:t>
      </w:r>
    </w:p>
    <w:p>
      <w:pPr>
        <w:spacing w:before="0" w:after="0" w:line="408" w:lineRule="exact"/>
        <w:ind w:left="0" w:right="0" w:firstLine="576"/>
        <w:jc w:val="left"/>
      </w:pPr>
      <w:r>
        <w:rPr/>
        <w:t xml:space="preserve">(ii) For a building with more than ninety thousand gross square feet but less than two hundred twenty thousand and one gross square feet, beginning July 1, 2021, through June 1, 2026; and</w:t>
      </w:r>
    </w:p>
    <w:p>
      <w:pPr>
        <w:spacing w:before="0" w:after="0" w:line="408" w:lineRule="exact"/>
        <w:ind w:left="0" w:right="0" w:firstLine="576"/>
        <w:jc w:val="left"/>
      </w:pPr>
      <w:r>
        <w:rPr/>
        <w:t xml:space="preserve">(iii) For a building with more than fifty thousand gross square feet but less than ninety thousand and one gross square feet, beginning July 1, 2021, through June 1, 2027.</w:t>
      </w:r>
    </w:p>
    <w:p>
      <w:pPr>
        <w:spacing w:before="0" w:after="0" w:line="408" w:lineRule="exact"/>
        <w:ind w:left="0" w:right="0" w:firstLine="576"/>
        <w:jc w:val="left"/>
      </w:pPr>
      <w:r>
        <w:rPr/>
        <w:t xml:space="preserve">(b) The department must review each application and determine whether the applicant is eligible for the incentive program and if funds are available for the incentive payment within the limitation established in section 5 of this act. If the department certifies an application, it must provide verification to the building owner and each entity participating as provided in section 6 of this act and providing service to the building owner.</w:t>
      </w:r>
    </w:p>
    <w:p>
      <w:pPr>
        <w:spacing w:before="0" w:after="0" w:line="408" w:lineRule="exact"/>
        <w:ind w:left="0" w:right="0" w:firstLine="576"/>
        <w:jc w:val="left"/>
      </w:pPr>
      <w:r>
        <w:rPr/>
        <w:t xml:space="preserve">(6) An eligible building owner that demonstrates early compliance with the applicable energy use intensity target under the standard established under section 3 of this act may receive a base incentive payment of eighty-five cents per gross square foot of floor area, excluding parking, unconditioned, or semiconditioned spaces.</w:t>
      </w:r>
    </w:p>
    <w:p>
      <w:pPr>
        <w:spacing w:before="0" w:after="0" w:line="408" w:lineRule="exact"/>
        <w:ind w:left="0" w:right="0" w:firstLine="576"/>
        <w:jc w:val="left"/>
      </w:pPr>
      <w:r>
        <w:rPr/>
        <w:t xml:space="preserve">(7) The incentives provided in subsection (6) of this section are subject to the limitations and requirements of this section, including any rules or procedures implementing this section.</w:t>
      </w:r>
    </w:p>
    <w:p>
      <w:pPr>
        <w:spacing w:before="0" w:after="0" w:line="408" w:lineRule="exact"/>
        <w:ind w:left="0" w:right="0" w:firstLine="576"/>
        <w:jc w:val="left"/>
      </w:pPr>
      <w:r>
        <w:rPr/>
        <w:t xml:space="preserve">(8) The department must establish requirements for the verification of energy consumption by the building owner and each participating electric utility, gas company, and thermal energy company.</w:t>
      </w:r>
    </w:p>
    <w:p>
      <w:pPr>
        <w:spacing w:before="0" w:after="0" w:line="408" w:lineRule="exact"/>
        <w:ind w:left="0" w:right="0" w:firstLine="576"/>
        <w:jc w:val="left"/>
      </w:pPr>
      <w:r>
        <w:rPr/>
        <w:t xml:space="preserve">(9) The department must provide an administrative process for an eligible building owner to appeal a determination of an incentive eligibility or amount.</w:t>
      </w:r>
    </w:p>
    <w:p>
      <w:pPr>
        <w:spacing w:before="0" w:after="0" w:line="408" w:lineRule="exact"/>
        <w:ind w:left="0" w:right="0" w:firstLine="576"/>
        <w:jc w:val="left"/>
      </w:pPr>
      <w:r>
        <w:rPr/>
        <w:t xml:space="preserve">(10) By September 30, 2025, and every two years thereafter, the department must report to the appropriate committees of the legislature on the results of the incentive program under this section and may provide recommendations to improve the effectiveness of the program.</w:t>
      </w:r>
    </w:p>
    <w:p>
      <w:pPr>
        <w:spacing w:before="0" w:after="0" w:line="408" w:lineRule="exact"/>
        <w:ind w:left="0" w:right="0" w:firstLine="576"/>
        <w:jc w:val="left"/>
      </w:pPr>
      <w:r>
        <w:rPr/>
        <w:t xml:space="preserve">(11)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The department may not issue a certification for an incentive application under section 4 of this act if doing so is likely to result in total incentive payments under section 4 of this act in excess of seventy-five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Each qualifying utility must administer incentive payments for the state energy performance standard early adoption incentive program established in section 4 of this act on behalf of its customers who are eligible building owners of covered commercial buildings or multifamily residential buildings, consistent with the requirements of this section. Any thermal energy company, electric utility, or gas company not otherwise required to administer incentive payments may voluntarily participate by providing notice to the department in a form and manner prescribed by the department.</w:t>
      </w:r>
    </w:p>
    <w:p>
      <w:pPr>
        <w:spacing w:before="0" w:after="0" w:line="408" w:lineRule="exact"/>
        <w:ind w:left="0" w:right="0" w:firstLine="576"/>
        <w:jc w:val="left"/>
      </w:pPr>
      <w:r>
        <w:rPr/>
        <w:t xml:space="preserve">(b) Nothing in this subsection (1) requires a qualifying utility to administer incentive payments for the state energy performance standard early adoption incentive program established in section 4 of this act for which the qualifying utility is not allowed a credit against taxes due under this chapter.</w:t>
      </w:r>
    </w:p>
    <w:p>
      <w:pPr>
        <w:spacing w:before="0" w:after="0" w:line="408" w:lineRule="exact"/>
        <w:ind w:left="0" w:right="0" w:firstLine="576"/>
        <w:jc w:val="left"/>
      </w:pPr>
      <w:r>
        <w:rPr/>
        <w:t xml:space="preserve">(2) An entity that administers the payments for the incentive program under this section must administer the program in a manner that is consistent with the standard established and any rules adopted by the department under sections 3 and 4 of this act.</w:t>
      </w:r>
    </w:p>
    <w:p>
      <w:pPr>
        <w:spacing w:before="0" w:after="0" w:line="408" w:lineRule="exact"/>
        <w:ind w:left="0" w:right="0" w:firstLine="576"/>
        <w:jc w:val="left"/>
      </w:pPr>
      <w:r>
        <w:rPr/>
        <w:t xml:space="preserve">(3) Upon receiving notification from the department that a building owner has qualified for an incentive payment, each entity that administers incentive payments under this section must make incentive payments to its customers who are eligible building owners of covered commercial buildings or multifamily residential buildings who qualify as provided under this section and at rates specified in section 4(6) of this act. When a building is served by more than one entity administering incentive payments, incentive payments must be proportional to the energy use intensity reduction of the participating entities' fuel.</w:t>
      </w:r>
    </w:p>
    <w:p>
      <w:pPr>
        <w:spacing w:before="0" w:after="0" w:line="408" w:lineRule="exact"/>
        <w:ind w:left="0" w:right="0" w:firstLine="576"/>
        <w:jc w:val="left"/>
      </w:pPr>
      <w:r>
        <w:rPr/>
        <w:t xml:space="preserve">(4) The participation by an entity in the administration of incentive payments under this section does not relieve the entity of any obligation that may otherwise exist or be established to provide customer energy efficiency programs or incentives.</w:t>
      </w:r>
    </w:p>
    <w:p>
      <w:pPr>
        <w:spacing w:before="0" w:after="0" w:line="408" w:lineRule="exact"/>
        <w:ind w:left="0" w:right="0" w:firstLine="576"/>
        <w:jc w:val="left"/>
      </w:pPr>
      <w:r>
        <w:rPr/>
        <w:t xml:space="preserve">(5) An entity that administers the payments for the incentive program under this section is not liable for excess payments made in reliance on amounts reported by the department as due and payable as provided under section 4 of this act, if such amounts are later found to be abnormal or inaccurate due to no fault of the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8, chapter . . ., Laws of 2019 (section 8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implementation of building energy efficiency measures, as indicated in section 4 of this act.</w:t>
      </w:r>
    </w:p>
    <w:p>
      <w:pPr>
        <w:spacing w:before="0" w:after="0" w:line="408" w:lineRule="exact"/>
        <w:ind w:left="0" w:right="0" w:firstLine="576"/>
        <w:jc w:val="left"/>
      </w:pPr>
      <w:r>
        <w:rPr/>
        <w:t xml:space="preserve">(2) It is the legislature's specific public policy objective to increase energy efficiency and the use of renewable fuels that reduce the amount of greenhouse gas emissions in Washington. It is the legislature's intent to provide a credit against the taxes owing by utilities under chapter 82.16 RCW for the incentives provided for the implementation by eligible building owners of energy efficiency and renewable energy measures.</w:t>
      </w:r>
    </w:p>
    <w:p>
      <w:pPr>
        <w:spacing w:before="0" w:after="0" w:line="408" w:lineRule="exact"/>
        <w:ind w:left="0" w:right="0" w:firstLine="576"/>
        <w:jc w:val="left"/>
      </w:pPr>
      <w:r>
        <w:rPr/>
        <w:t xml:space="preserve">(3) If a review finds that measurable energy savings have increased in covered commercial buildings for which building owners are receiving an incentive payment from a qualifying utility,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the number of building owners receiving an incentive payment from qualifying utilities taking the public utility tax preference under section 8 of this act, the amount of the incentive payment, and the energy use intensity reduction of the buildings as a result of the incentive program, as reported by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a light and power business or a gas distribution business is allowed a credit against taxes due under this chapter in an amount equal to:</w:t>
      </w:r>
    </w:p>
    <w:p>
      <w:pPr>
        <w:spacing w:before="0" w:after="0" w:line="408" w:lineRule="exact"/>
        <w:ind w:left="0" w:right="0" w:firstLine="576"/>
        <w:jc w:val="left"/>
      </w:pPr>
      <w:r>
        <w:rPr/>
        <w:t xml:space="preserve">(a) Incentive payments made in any calendar year under section 4 of this act; and</w:t>
      </w:r>
    </w:p>
    <w:p>
      <w:pPr>
        <w:spacing w:before="0" w:after="0" w:line="408" w:lineRule="exact"/>
        <w:ind w:left="0" w:right="0" w:firstLine="576"/>
        <w:jc w:val="left"/>
      </w:pPr>
      <w:r>
        <w:rPr/>
        <w:t xml:space="preserve">(b) Documented administrative cost not to exceed eight percent of the incentive payments. </w:t>
      </w:r>
    </w:p>
    <w:p>
      <w:pPr>
        <w:spacing w:before="0" w:after="0" w:line="408" w:lineRule="exact"/>
        <w:ind w:left="0" w:right="0" w:firstLine="576"/>
        <w:jc w:val="left"/>
      </w:pPr>
      <w:r>
        <w:rPr/>
        <w:t xml:space="preserve">(2) The credit must be taken in a form and manner as required by the department.</w:t>
      </w:r>
    </w:p>
    <w:p>
      <w:pPr>
        <w:spacing w:before="0" w:after="0" w:line="408" w:lineRule="exact"/>
        <w:ind w:left="0" w:right="0" w:firstLine="576"/>
        <w:jc w:val="left"/>
      </w:pPr>
      <w:r>
        <w:rPr/>
        <w:t xml:space="preserve">(3) Credit must be claimed against taxes due under this chapter for the incentive payments made and administrative expenses incurred. Credit earned in one calendar year may not be carried backward but may be claimed against taxes due under this chapter during the same calendar year and for the following two calendar years. The credit may not exceed the tax that would otherwise be due under this chapter. Refunds may not be granted in the place of a credit.</w:t>
      </w:r>
    </w:p>
    <w:p>
      <w:pPr>
        <w:spacing w:before="0" w:after="0" w:line="408" w:lineRule="exact"/>
        <w:ind w:left="0" w:right="0" w:firstLine="576"/>
        <w:jc w:val="left"/>
      </w:pPr>
      <w:r>
        <w:rPr/>
        <w:t xml:space="preserve">(4)(a) Except as provided in (c) of this subsection, any business that has claimed credit in excess of the amount of credit the business earned under subsection (1) of this section must repay the amount of tax against which the excess credit was claimed.</w:t>
      </w:r>
    </w:p>
    <w:p>
      <w:pPr>
        <w:spacing w:before="0" w:after="0" w:line="408" w:lineRule="exact"/>
        <w:ind w:left="0" w:right="0" w:firstLine="576"/>
        <w:jc w:val="left"/>
      </w:pPr>
      <w:r>
        <w:rPr/>
        <w:t xml:space="preserve">(b) The department must assess interest on the taxes due under this subsection. Interest must be assessed at the rate provided for delinquent excise taxes under chapter 82.32 RCW, retroactively to the date the credit was claimed, and accrues until the taxes against which the credit was claimed are repaid. The department must provide written notice of the amount due under this subsection and that the amount due must be paid within thirty days of the date of the notice. The department may not impose penalties as provided in chapter 82.32 RCW on taxes due under this subsection unless the amount due is not paid in full by the due date in the notice.</w:t>
      </w:r>
    </w:p>
    <w:p>
      <w:pPr>
        <w:spacing w:before="0" w:after="0" w:line="408" w:lineRule="exact"/>
        <w:ind w:left="0" w:right="0" w:firstLine="576"/>
        <w:jc w:val="left"/>
      </w:pPr>
      <w:r>
        <w:rPr/>
        <w:t xml:space="preserve">(c) A business is not liable for excess credits claimed in reliance on amounts reported to the business by the department of commerce as due and payable as provided under section 4 of this act,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and the identity of a business that takes the credit is not confidential taxpayer information under RCW 82.32.330 and is subject to disclosure.</w:t>
      </w:r>
    </w:p>
    <w:p>
      <w:pPr>
        <w:spacing w:before="0" w:after="0" w:line="408" w:lineRule="exact"/>
        <w:ind w:left="0" w:right="0" w:firstLine="576"/>
        <w:jc w:val="left"/>
      </w:pPr>
      <w:r>
        <w:rPr/>
        <w:t xml:space="preserve">(6) This section expires June 30,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140</w:t>
      </w:r>
      <w:r>
        <w:rPr/>
        <w:t xml:space="preserve"> and 2011 1st sp.s. c 43 s 245 are each amended to read as follows:</w:t>
      </w:r>
    </w:p>
    <w:p>
      <w:pPr>
        <w:spacing w:before="0" w:after="0" w:line="408" w:lineRule="exact"/>
        <w:ind w:left="0" w:right="0" w:firstLine="576"/>
        <w:jc w:val="left"/>
      </w:pPr>
      <w:r>
        <w:rPr/>
        <w:t xml:space="preserve">The definitions in this section apply to RCW 19.27A.130 through 19.27A.190 and 19.27A.020 unless the context clearly requires otherwise.</w:t>
      </w:r>
    </w:p>
    <w:p>
      <w:pPr>
        <w:spacing w:before="0" w:after="0" w:line="408" w:lineRule="exact"/>
        <w:ind w:left="0" w:right="0" w:firstLine="576"/>
        <w:jc w:val="left"/>
      </w:pPr>
      <w:r>
        <w:rPr/>
        <w:t xml:space="preserve">(1) "Benchmark" means the energy used by a facility as recorded monthly for at least one year and the facility characteristics information inputs required for a portfolio manager.</w:t>
      </w:r>
    </w:p>
    <w:p>
      <w:pPr>
        <w:spacing w:before="0" w:after="0" w:line="408" w:lineRule="exact"/>
        <w:ind w:left="0" w:right="0" w:firstLine="576"/>
        <w:jc w:val="left"/>
      </w:pPr>
      <w:r>
        <w:rPr/>
        <w:t xml:space="preserve">(2) "Conditioned space" means conditioned space, as defined in the Washington state energy code.</w:t>
      </w:r>
    </w:p>
    <w:p>
      <w:pPr>
        <w:spacing w:before="0" w:after="0" w:line="408" w:lineRule="exact"/>
        <w:ind w:left="0" w:right="0" w:firstLine="576"/>
        <w:jc w:val="left"/>
      </w:pPr>
      <w:r>
        <w:rPr/>
        <w:t xml:space="preserve">(3) "Consumer-owned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"Cost-effectiveness"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(5) "Council" means the state building code council.</w:t>
      </w:r>
    </w:p>
    <w:p>
      <w:pPr>
        <w:spacing w:before="0" w:after="0" w:line="408" w:lineRule="exact"/>
        <w:ind w:left="0" w:right="0" w:firstLine="576"/>
        <w:jc w:val="left"/>
      </w:pPr>
      <w:r>
        <w:rPr/>
        <w:t xml:space="preserve">(6) "Embodied energy" means the total amount of fossil fuel energy consumed to extract raw materials and to manufacture, assemble, transport, and install the materials in a building and the life-cycle cost benefits including the recyclability and energy efficiencies with respect to building materials, taking into account the total sum of current values for the costs of investment, capital, installation, operating, maintenance, and replacement as estimated for the lifetime of the product or project.</w:t>
      </w:r>
    </w:p>
    <w:p>
      <w:pPr>
        <w:spacing w:before="0" w:after="0" w:line="408" w:lineRule="exact"/>
        <w:ind w:left="0" w:right="0" w:firstLine="576"/>
        <w:jc w:val="left"/>
      </w:pPr>
      <w:r>
        <w:rPr/>
        <w:t xml:space="preserve">(7) "Energy consumption data" means the monthly amount of energy consumed by a customer as recorded by the applicable energy meter for the most recent twelve-month period.</w:t>
      </w:r>
    </w:p>
    <w:p>
      <w:pPr>
        <w:spacing w:before="0" w:after="0" w:line="408" w:lineRule="exact"/>
        <w:ind w:left="0" w:right="0" w:firstLine="576"/>
        <w:jc w:val="left"/>
      </w:pPr>
      <w:r>
        <w:rPr/>
        <w:t xml:space="preserve">(8) "Energy service company" has the same meaning as in RCW 43.19.670.</w:t>
      </w:r>
    </w:p>
    <w:p>
      <w:pPr>
        <w:spacing w:before="0" w:after="0" w:line="408" w:lineRule="exact"/>
        <w:ind w:left="0" w:right="0" w:firstLine="576"/>
        <w:jc w:val="left"/>
      </w:pPr>
      <w:r>
        <w:rPr/>
        <w:t xml:space="preserve">(9) "Enterprise services" means the department of enterprise services.</w:t>
      </w:r>
    </w:p>
    <w:p>
      <w:pPr>
        <w:spacing w:before="0" w:after="0" w:line="408" w:lineRule="exact"/>
        <w:ind w:left="0" w:right="0" w:firstLine="576"/>
        <w:jc w:val="left"/>
      </w:pPr>
      <w:r>
        <w:rPr/>
        <w:t xml:space="preserve">(10) "Greenhouse gas" and "greenhouse gases" includes carbon dioxide, methane, nitrous oxide, hydrofluorocarbons, perfluorocarbons, and sulfur hexafluoride.</w:t>
      </w:r>
    </w:p>
    <w:p>
      <w:pPr>
        <w:spacing w:before="0" w:after="0" w:line="408" w:lineRule="exact"/>
        <w:ind w:left="0" w:right="0" w:firstLine="576"/>
        <w:jc w:val="left"/>
      </w:pPr>
      <w:r>
        <w:rPr/>
        <w:t xml:space="preserve">(11) "Investment grade energy audit" means an intensive engineering analysis of energy efficiency and management measures for the facility, net energy savings, and a cost-effectiveness determination.</w:t>
      </w:r>
    </w:p>
    <w:p>
      <w:pPr>
        <w:spacing w:before="0" w:after="0" w:line="408" w:lineRule="exact"/>
        <w:ind w:left="0" w:right="0" w:firstLine="576"/>
        <w:jc w:val="left"/>
      </w:pPr>
      <w:r>
        <w:rPr/>
        <w:t xml:space="preserve">(12)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(13) "Major facility" means any publicly owned or leased building, or a group of such buildings at a single site, having ten thousand square feet or more of conditioned floor space.</w:t>
      </w:r>
    </w:p>
    <w:p>
      <w:pPr>
        <w:spacing w:before="0" w:after="0" w:line="408" w:lineRule="exact"/>
        <w:ind w:left="0" w:right="0" w:firstLine="576"/>
        <w:jc w:val="left"/>
      </w:pPr>
      <w:r>
        <w:rPr/>
        <w:t xml:space="preserve">(14) "National energy performance rating" means the score provided by the energy star program, to indicate the energy efficiency performance of the building compared to similar buildings in that climate as defined in the United States environmental protection agency "ENERGY STAR® Performance Ratings Technical Methodology."</w:t>
      </w:r>
    </w:p>
    <w:p>
      <w:pPr>
        <w:spacing w:before="0" w:after="0" w:line="408" w:lineRule="exact"/>
        <w:ind w:left="0" w:right="0" w:firstLine="576"/>
        <w:jc w:val="left"/>
      </w:pPr>
      <w:r>
        <w:rPr/>
        <w:t xml:space="preserve">(15) "Net zero energy use" means a building with net energy consumption of zero over a typical year.</w:t>
      </w:r>
    </w:p>
    <w:p>
      <w:pPr>
        <w:spacing w:before="0" w:after="0" w:line="408" w:lineRule="exact"/>
        <w:ind w:left="0" w:right="0" w:firstLine="576"/>
        <w:jc w:val="left"/>
      </w:pPr>
      <w:r>
        <w:rPr/>
        <w:t xml:space="preserve">(16) "Portfolio manager" means the United States environmental protection agency's energy star portfolio manager or an equivalent tool adopted by the department of enterprise services.</w:t>
      </w:r>
    </w:p>
    <w:p>
      <w:pPr>
        <w:spacing w:before="0" w:after="0" w:line="408" w:lineRule="exact"/>
        <w:ind w:left="0" w:right="0" w:firstLine="576"/>
        <w:jc w:val="left"/>
      </w:pPr>
      <w:r>
        <w:rPr/>
        <w:t xml:space="preserve">(17) "Preliminary energy audit" means a quick evaluation by an energy service company of the energy savings potential of a building.</w:t>
      </w:r>
    </w:p>
    <w:p>
      <w:pPr>
        <w:spacing w:before="0" w:after="0" w:line="408" w:lineRule="exact"/>
        <w:ind w:left="0" w:right="0" w:firstLine="576"/>
        <w:jc w:val="left"/>
      </w:pPr>
      <w:r>
        <w:rPr/>
        <w:t xml:space="preserve">(18) "Qualifying public agency" includes all state agencies, colleges, and universities.</w:t>
      </w:r>
    </w:p>
    <w:p>
      <w:pPr>
        <w:spacing w:before="0" w:after="0" w:line="408" w:lineRule="exact"/>
        <w:ind w:left="0" w:right="0" w:firstLine="576"/>
        <w:jc w:val="left"/>
      </w:pPr>
      <w:r>
        <w:rPr/>
        <w:t xml:space="preserve">(19)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(20) "Reporting public facility" means any of the following:</w:t>
      </w:r>
    </w:p>
    <w:p>
      <w:pPr>
        <w:spacing w:before="0" w:after="0" w:line="408" w:lineRule="exact"/>
        <w:ind w:left="0" w:right="0" w:firstLine="576"/>
        <w:jc w:val="left"/>
      </w:pPr>
      <w:r>
        <w:rPr/>
        <w:t xml:space="preserve">(a) A building or structure, or a group of buildings or structures at a single site, owned by a qualifying public agency, that exceed ten thousand square feet of conditioned space;</w:t>
      </w:r>
    </w:p>
    <w:p>
      <w:pPr>
        <w:spacing w:before="0" w:after="0" w:line="408" w:lineRule="exact"/>
        <w:ind w:left="0" w:right="0" w:firstLine="576"/>
        <w:jc w:val="left"/>
      </w:pPr>
      <w:r>
        <w:rPr/>
        <w:t xml:space="preserve">(b) Buildings, structures, or spaces leased by a qualifying public agency that exceeds ten thousand square feet of conditioned space, where the qualifying public agency purchases energy directly from the investor-owned or consumer-owned utility;</w:t>
      </w:r>
    </w:p>
    <w:p>
      <w:pPr>
        <w:spacing w:before="0" w:after="0" w:line="408" w:lineRule="exact"/>
        <w:ind w:left="0" w:right="0" w:firstLine="576"/>
        <w:jc w:val="left"/>
      </w:pPr>
      <w:r>
        <w:rPr/>
        <w:t xml:space="preserve">(c) A wastewater treatment facility owned by a qualifying public agency; or</w:t>
      </w:r>
    </w:p>
    <w:p>
      <w:pPr>
        <w:spacing w:before="0" w:after="0" w:line="408" w:lineRule="exact"/>
        <w:ind w:left="0" w:right="0" w:firstLine="576"/>
        <w:jc w:val="left"/>
      </w:pPr>
      <w:r>
        <w:rPr/>
        <w:t xml:space="preserve">(d) Other facilities selected by the qualifying public agency.</w:t>
      </w:r>
    </w:p>
    <w:p>
      <w:pPr>
        <w:spacing w:before="0" w:after="0" w:line="408" w:lineRule="exact"/>
        <w:ind w:left="0" w:right="0" w:firstLine="576"/>
        <w:jc w:val="left"/>
      </w:pPr>
      <w:r>
        <w:rPr/>
        <w:t xml:space="preserve">(21) "State portfolio manager master account" means a portfolio manager account established to provide a single shared portfolio that includes reports for all the reporting public facilities.</w:t>
      </w:r>
    </w:p>
    <w:p>
      <w:pPr>
        <w:spacing w:before="0" w:after="0" w:line="408" w:lineRule="exact"/>
        <w:ind w:left="0" w:right="0" w:firstLine="576"/>
        <w:jc w:val="left"/>
      </w:pPr>
      <w:r>
        <w:rPr>
          <w:u w:val="single"/>
        </w:rPr>
        <w:t xml:space="preserve">(22) "Building owner" has the same meaning as defined in section 2 of this act.</w:t>
      </w:r>
    </w:p>
    <w:p>
      <w:pPr>
        <w:spacing w:before="0" w:after="0" w:line="408" w:lineRule="exact"/>
        <w:ind w:left="0" w:right="0" w:firstLine="576"/>
        <w:jc w:val="left"/>
      </w:pPr>
      <w:r>
        <w:rPr>
          <w:u w:val="single"/>
        </w:rPr>
        <w:t xml:space="preserve">(23) "Covered commercial building" has the same meaning as defined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170</w:t>
      </w:r>
      <w:r>
        <w:rPr/>
        <w:t xml:space="preserve"> and 2009 c 423 s 6 are each amended to read as follows:</w:t>
      </w:r>
    </w:p>
    <w:p>
      <w:pPr>
        <w:spacing w:before="0" w:after="0" w:line="408" w:lineRule="exact"/>
        <w:ind w:left="0" w:right="0" w:firstLine="576"/>
        <w:jc w:val="left"/>
      </w:pPr>
      <w:r>
        <w:rPr/>
        <w:t xml:space="preserve">(1) On and after January 1, 2010, qualifying utilities shall maintain records of the energy consumption data of all nonresidential and qualifying public agency buildings to which they provide service. This data must be maintained for at least the most recent twelve months in a format compatible for uploading to the United States environmental protection agency's energy star portfolio manager.</w:t>
      </w:r>
    </w:p>
    <w:p>
      <w:pPr>
        <w:spacing w:before="0" w:after="0" w:line="408" w:lineRule="exact"/>
        <w:ind w:left="0" w:right="0" w:firstLine="576"/>
        <w:jc w:val="left"/>
      </w:pPr>
      <w:r>
        <w:rPr/>
        <w:t xml:space="preserve">(2) On and after January 1, 2010, upon the written authorization or secure electronic authorization of a nonresidential building owner or operator, a qualifying utility shall upload the energy consumption data for the accounts specified by the owner or operator for a building to the United States environmental protection agency's energy star portfolio manager in a form that does not disclose personally identifying information.</w:t>
      </w:r>
    </w:p>
    <w:p>
      <w:pPr>
        <w:spacing w:before="0" w:after="0" w:line="408" w:lineRule="exact"/>
        <w:ind w:left="0" w:right="0" w:firstLine="576"/>
        <w:jc w:val="left"/>
      </w:pPr>
      <w:r>
        <w:rPr/>
        <w:t xml:space="preserve">(3) In carrying out the requirements of this section, a qualifying utility shall use any method for providing the specified data in order to maximize efficiency and minimize overall program cost. Qualifying utilities are encouraged to consult with the United States environmental protection agency and their customers in developing reasonable reporting options.</w:t>
      </w:r>
    </w:p>
    <w:p>
      <w:pPr>
        <w:spacing w:before="0" w:after="0" w:line="408" w:lineRule="exact"/>
        <w:ind w:left="0" w:right="0" w:firstLine="576"/>
        <w:jc w:val="left"/>
      </w:pPr>
      <w:r>
        <w:rPr/>
        <w:t xml:space="preserve">(4) Disclosure of nonpublic nonresidential benchmarking data and ratings required under subsection (5) of this section will be phased in as follows: </w:t>
      </w:r>
    </w:p>
    <w:p>
      <w:pPr>
        <w:spacing w:before="0" w:after="0" w:line="408" w:lineRule="exact"/>
        <w:ind w:left="0" w:right="0" w:firstLine="576"/>
        <w:jc w:val="left"/>
      </w:pPr>
      <w:r>
        <w:rPr/>
        <w:t xml:space="preserve">(a) By January 1, 2011, for buildings greater than fifty thousand square feet; and</w:t>
      </w:r>
    </w:p>
    <w:p>
      <w:pPr>
        <w:spacing w:before="0" w:after="0" w:line="408" w:lineRule="exact"/>
        <w:ind w:left="0" w:right="0" w:firstLine="576"/>
        <w:jc w:val="left"/>
      </w:pPr>
      <w:r>
        <w:rPr/>
        <w:t xml:space="preserve">(b) By January 1, 2012, for buildings greater than ten thousand square feet.</w:t>
      </w:r>
    </w:p>
    <w:p>
      <w:pPr>
        <w:spacing w:before="0" w:after="0" w:line="408" w:lineRule="exact"/>
        <w:ind w:left="0" w:right="0" w:firstLine="576"/>
        <w:jc w:val="left"/>
      </w:pPr>
      <w:r>
        <w:rPr/>
        <w:t xml:space="preserve">(5) Based on the size guidelines in subsection (4) of this section, a building owner or operator, or their agent, of a nonresidential building shall disclose the United States environmental protection agency's energy star portfolio manager benchmarking data and ratings to a prospective buyer, lessee, or lender for the most recent continuously occupied twelve-month period. A building owner or operator, or their agent, who delivers United States environmental protection agency's energy star portfolio manager benchmarking data and ratings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portfolio manager benchmarking data and ratings for the most recent twelve-month period for the building that is being sold, leased, financed, or refinanced.</w:t>
      </w:r>
    </w:p>
    <w:p>
      <w:pPr>
        <w:spacing w:before="0" w:after="0" w:line="408" w:lineRule="exact"/>
        <w:ind w:left="0" w:right="0" w:firstLine="576"/>
        <w:jc w:val="left"/>
      </w:pPr>
      <w:r>
        <w:rPr/>
        <w:t xml:space="preserve">(6) Notwithstanding subsections (4) and (5) of this section, nothing in this section increases or decreases the duties, if any, of a building owner, operator, or their agent under this chapter or alters the duty of a seller, agent, or broker to disclose the existence of a material fact affecting the real property.</w:t>
      </w:r>
    </w:p>
    <w:p>
      <w:pPr>
        <w:spacing w:before="0" w:after="0" w:line="408" w:lineRule="exact"/>
        <w:ind w:left="0" w:right="0" w:firstLine="576"/>
        <w:jc w:val="left"/>
      </w:pPr>
      <w:r>
        <w:rPr>
          <w:u w:val="single"/>
        </w:rPr>
        <w:t xml:space="preserve">(7) An electric or gas utility that is not a qualifying utility must either offer the upload service specified in subsection (2) of this section or provide customers who are building owners of covered commercial buildings with consumption data in an electronic document formatted for direct upload to the United States environmental protection agency's energy star portfolio manager. Within sixty days of receiving a written or electronic request and authorization of a building owner, the utility must provide the building owner with monthly energy consumption data as required to benchmark the specified building.</w:t>
      </w:r>
    </w:p>
    <w:p>
      <w:pPr>
        <w:spacing w:before="0" w:after="0" w:line="408" w:lineRule="exact"/>
        <w:ind w:left="0" w:right="0" w:firstLine="576"/>
        <w:jc w:val="left"/>
      </w:pPr>
      <w:r>
        <w:rPr>
          <w:u w:val="single"/>
        </w:rPr>
        <w:t xml:space="preserve">(8) For any covered commercial building with three or more tenants, an electric or gas utility must, upon request of the building owner, provide the building owner with aggregated monthly energy consumption data without requiring prior consent from tenants.</w:t>
      </w:r>
    </w:p>
    <w:p>
      <w:pPr>
        <w:spacing w:before="0" w:after="0" w:line="408" w:lineRule="exact"/>
        <w:ind w:left="0" w:right="0" w:firstLine="576"/>
        <w:jc w:val="left"/>
      </w:pPr>
      <w:r>
        <w:rPr>
          <w:u w:val="single"/>
        </w:rPr>
        <w:t xml:space="preserve">(9) Each electric or gas utility must ensure that all data provided in compliance with this section does not contain personally identifiable information or customer-specific billing information about tenants of a covered commercial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Each gas company must identify and acquire all conservation measures that are available and cost-effective. Each company must establish an acquisition target every two years and must demonstrate that the target will result in the acquisition of all resources identified as available and cost-effective. The cost-effectiveness analysis required by this section must include the costs of greenhouse gas emissions established in section 15 of this act. The targets must be based on a conservation potential assessment prepared by an independent third party and approved by the commission. Conservation targets must be approved by order by the commission. The initial conservation target must take effect by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w:t>
      </w:r>
    </w:p>
    <w:p>
      <w:pPr>
        <w:spacing w:before="0" w:after="0" w:line="408" w:lineRule="exact"/>
        <w:ind w:left="0" w:right="0" w:firstLine="576"/>
        <w:jc w:val="left"/>
      </w:pPr>
      <w:r>
        <w:rPr/>
        <w:t xml:space="preserve">(a) Renewable natural gas provides benefits to natural gas utility customers and to the public; and</w:t>
      </w:r>
    </w:p>
    <w:p>
      <w:pPr>
        <w:spacing w:before="0" w:after="0" w:line="408" w:lineRule="exact"/>
        <w:ind w:left="0" w:right="0" w:firstLine="576"/>
        <w:jc w:val="left"/>
      </w:pPr>
      <w:r>
        <w:rPr/>
        <w:t xml:space="preserve">(b) The development of renewable natural gas resources should be encouraged to support a smooth transition to a low carbon energy economy in Washington.</w:t>
      </w:r>
    </w:p>
    <w:p>
      <w:pPr>
        <w:spacing w:before="0" w:after="0" w:line="408" w:lineRule="exact"/>
        <w:ind w:left="0" w:right="0" w:firstLine="576"/>
        <w:jc w:val="left"/>
      </w:pPr>
      <w:r>
        <w:rPr/>
        <w:t xml:space="preserve">(2) It is the policy of the state to provide clear and reliable guidelines for gas companies that opt to supply renewable natural gas resources to serve their customers and that ensure robust ratepayer protections.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natural gas company may propose a renewable natural gas program under which the company would supply renewable natural gas for a portion of the natural gas sold or delivered to its retail customers. The renewable natural gas program is subject to review and approval by the commission. The customer charge for a renewable natural gas program may not exceed five percent of the amount charged to retail customers for natural gas.</w:t>
      </w:r>
    </w:p>
    <w:p>
      <w:pPr>
        <w:spacing w:before="0" w:after="0" w:line="408" w:lineRule="exact"/>
        <w:ind w:left="0" w:right="0" w:firstLine="576"/>
        <w:jc w:val="left"/>
      </w:pPr>
      <w:r>
        <w:rPr/>
        <w:t xml:space="preserve">(2) The environmental attributes of renewable natural gas provided under this section must be retired using procedures established by the commission and may not be used for any other purpose. The commission must approve procedures for banking and transfer of environmental attributes.</w:t>
      </w:r>
    </w:p>
    <w:p>
      <w:pPr>
        <w:spacing w:before="0" w:after="0" w:line="408" w:lineRule="exact"/>
        <w:ind w:left="0" w:right="0" w:firstLine="576"/>
        <w:jc w:val="left"/>
      </w:pPr>
      <w:r>
        <w:rPr/>
        <w:t xml:space="preserve">(3) As used in this section, "renewable natural gas" includes renewable natural gas as defined in RCW 54.04.190. The commission may approve inclusion of other sources of gas if those sources are produced without consumption of fossil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Each gas company must offer by tariff a voluntary renewable natural gas service available to all customers to replace any portion of the natural gas that would otherwise be provided by the gas company. The tariff may provide reasonable limits on participation based on the availability of renewable natural gas and may use environmental attributes of renewable natural gas combined with natural gas. The voluntary renewable natural gas service must include delivery to, or the retirement on behalf of, the customer of all environmental attributes associated with the renewable natural gas.</w:t>
      </w:r>
    </w:p>
    <w:p>
      <w:pPr>
        <w:spacing w:before="0" w:after="0" w:line="408" w:lineRule="exact"/>
        <w:ind w:left="0" w:right="0" w:firstLine="576"/>
        <w:jc w:val="left"/>
      </w:pPr>
      <w:r>
        <w:rPr/>
        <w:t xml:space="preserve">(2) For the purposes of this section, "renewable natural gas" includes renewable natural gas as defined in RCW 54.04.190. The commission may approve inclusion of other sources of gas if those sources are produced without consumption of fossil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purposes of section 11 of this act, the cost of greenhouse gas emissions resulting from the use of natural gas, including the effect of emissions occurring in the gathering, transmission, and distribution of natural gas to the end user is equal to the cost per metric ton of carbon dioxide emissions, using the two and one-half percent discount rate, listed in table 2, Technical Support Document: Technical update of the social cost of carbon for regulatory impact analysis under Executive Order 12866, published by the interagency working group on social cost of greenhouse gases of the United States government, August 2016. The commission must adjust the costs established in this section to reflect the effect of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commission must monitor the greenhouse gas emissions resulting from natural gas and renewable natural gas delivered by each gas company to its customers, relative to a proportionate share of the state's greenhouse gas emissions reduction goal. The commission must report to the governor by January 1, 2020, and every three years thereafter, an assessment of whether the gas companies are on track to meet a proportionate share of the state's greenhouse gas emissions reduction goal. The commission may rely on reports submitted by gas companies to the United States environmental protection agency or other governmental agencies in complying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1991 c 122 s 3 are each amended to read as follows:</w:t>
      </w:r>
    </w:p>
    <w:p>
      <w:pPr>
        <w:spacing w:before="0" w:after="0" w:line="408" w:lineRule="exact"/>
        <w:ind w:left="0" w:right="0" w:firstLine="576"/>
        <w:jc w:val="left"/>
      </w:pPr>
      <w:r>
        <w:rPr/>
        <w:t xml:space="preserve">(1) The minimum state energy code for new nonresidential buildings shall be the Washington state energy code, 1986 edition, as amended. The state building code council may, by rule adopted pursuant to chapter 34.05 RCW,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w:t>
      </w:r>
      <w:r>
        <w:t>((</w:t>
      </w:r>
      <w:r>
        <w:rPr>
          <w:strike/>
        </w:rPr>
        <w:t xml:space="preserve">cost-effective to building owners and tenants</w:t>
      </w:r>
      <w:r>
        <w:t>))</w:t>
      </w:r>
      <w:r>
        <w:rPr/>
        <w:t xml:space="preserve"> </w:t>
      </w:r>
      <w:r>
        <w:rPr>
          <w:u w:val="single"/>
        </w:rPr>
        <w:t xml:space="preserve">developed to yield the lowest overall cost to the building owner and occupant while meeting the energy reduction goals established under RCW 19.27A.160</w:t>
      </w:r>
      <w:r>
        <w:rPr/>
        <w:t xml:space="preserve">.</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committee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 Decisions to amend the Washington state energy code for new nonresidential buildings shall be made prior to December 15th of any year and shall not take effect before the end of the regular legislative session in the next year. Any disputed provisions within an amendment presented to the legislature shall be approved by the legislature before going into effect. A disputed provision is one which was adopted by the state building code council with less than a two-thirds majority vote. Substantial amendments to the code shall be adopted no more frequently than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540</w:t>
      </w:r>
      <w:r>
        <w:rPr/>
        <w:t xml:space="preserve"> and 2009 c 459 s 16 are each amended to read as follows:</w:t>
      </w:r>
    </w:p>
    <w:p>
      <w:pPr>
        <w:spacing w:before="0" w:after="0" w:line="408" w:lineRule="exact"/>
        <w:ind w:left="0" w:right="0" w:firstLine="576"/>
        <w:jc w:val="left"/>
      </w:pPr>
      <w:r>
        <w:rPr>
          <w:u w:val="single"/>
        </w:rPr>
        <w:t xml:space="preserve">(1)</w:t>
      </w:r>
      <w:r>
        <w:rPr/>
        <w:t xml:space="preserve"> The building code council shall adopt rules for electric vehicle infrastructure requirements. Rules adopted by the state building code council must consider applicable national and international standards and be consistent with rules adopted under RCW 19.28.281.</w:t>
      </w:r>
    </w:p>
    <w:p>
      <w:pPr>
        <w:spacing w:before="0" w:after="0" w:line="408" w:lineRule="exact"/>
        <w:ind w:left="0" w:right="0" w:firstLine="576"/>
        <w:jc w:val="left"/>
      </w:pPr>
      <w:r>
        <w:rPr>
          <w:u w:val="single"/>
        </w:rPr>
        <w:t xml:space="preserve">(2)(a) Except as provided in (b) of this subsection, the rules adopted under this section must require electric vehicle charging capability at all new buildings that provide on-site parking. Where parking is provided, the greater of one parking space or ten percent of parking spaces, rounded to the next whole number, must be provided with wiring or raceway sized to accommodate 208/240 V 40-amp or equivalent electric vehicle charging. Electrical rooms serving buildings with on-site parking must be sized to accommodate the potential for electrical equipment and distribution required to serve a minimum of twenty percent of the total parking spaces with 208/240 V 40-amp or equivalent electric vehicle charging. Load management infrastructure may be used to adjust the size and capacity of the required building electric service equipment and circuits on the customer facilities, as well as electric utility owned infrastructure, as allowed by applicable local and national electrical code. For accessible parking spaces, the greater of one parking space or ten percent of accessible parking spaces, rounded to the next whole number, must be provided with electric vehicle charging infrastructure that may also serve adjacent parking spaces not designated as accessible parking.</w:t>
      </w:r>
    </w:p>
    <w:p>
      <w:pPr>
        <w:spacing w:before="0" w:after="0" w:line="408" w:lineRule="exact"/>
        <w:ind w:left="0" w:right="0" w:firstLine="576"/>
        <w:jc w:val="left"/>
      </w:pPr>
      <w:r>
        <w:rPr>
          <w:u w:val="single"/>
        </w:rPr>
        <w:t xml:space="preserve">(b) For occupancies classified as assembly, education, or mercantile, the requirements of this section apply only to employee parking spaces. The requirements of this section do not apply to occupancies classified as residential R-3, utility, or miscellaneous.</w:t>
      </w:r>
    </w:p>
    <w:p>
      <w:pPr>
        <w:spacing w:before="0" w:after="0" w:line="408" w:lineRule="exact"/>
        <w:ind w:left="0" w:right="0" w:firstLine="576"/>
        <w:jc w:val="left"/>
      </w:pPr>
      <w:r>
        <w:rPr>
          <w:u w:val="single"/>
        </w:rPr>
        <w:t xml:space="preserve">(c) The required rules required under this subsection must be implemented by July 1, 2021.</w:t>
      </w:r>
      <w:r>
        <w:rPr/>
        <w:t xml:space="preserve">"</w:t>
      </w:r>
    </w:p>
    <w:p>
      <w:pPr>
        <w:spacing w:before="480" w:after="0" w:line="408" w:lineRule="exact"/>
      </w:pPr>
      <w:r>
        <w:rPr>
          <w:b/>
          <w:u w:val="single"/>
        </w:rPr>
        <w:t xml:space="preserve">E3SHB 1257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On page 1, line 1 of the title, after "efficiency;" strike the remainder of the title and insert "amending RCW 19.27A.140, 19.27A.170, 19.27A.025, and 19.27.540; adding new sections to chapter 19.27A RCW; adding a new section to chapter 82.16 RCW; adding new sections to chapter 80.28 RCW; creating new sections; prescribing penalties; and providing an expiration date."</w:t>
      </w:r>
    </w:p>
    <w:p>
      <w:pPr>
        <w:spacing w:before="0" w:after="0" w:line="408" w:lineRule="exact"/>
        <w:ind w:left="0" w:right="0" w:firstLine="576"/>
        <w:jc w:val="left"/>
      </w:pPr>
      <w:r>
        <w:rPr>
          <w:u w:val="single"/>
        </w:rPr>
        <w:t xml:space="preserve">EFFECT:</w:t>
      </w:r>
      <w:r>
        <w:rPr/>
        <w:t xml:space="preserve"> Reduces the requirements for electrical room sizing, requiring the electrical room to be constructed to accommodate 20 percent of parking spaces with electric vehicle charging rather than 50 percent of parking spaces. Requires schools to develop EV charging infrastructure based on a count of employee parking spaces rather than a count of all parking spaces. Specifies the building code change will take effect July 1,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510e273d324bb8" /></Relationships>
</file>