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df7998e574d3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1257-S3.E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S4164.1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E3SHB 1257</w:t>
      </w:r>
      <w:r>
        <w:t xml:space="preserve"> -</w:t>
      </w:r>
      <w:r>
        <w:t xml:space="preserve"> </w:t>
        <w:t xml:space="preserve">S AMD TO WM COMM AMD (S-3926.1/19)</w:t>
      </w:r>
      <w:r>
        <w:t xml:space="preserve"> </w:t>
      </w:r>
      <w:r>
        <w:rPr>
          <w:b/>
        </w:rPr>
        <w:t xml:space="preserve">676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after line 36,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19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requirements of this act may not be applied or enforced against privately owned buildings until all publicly owned buildings are fully compliant with all applicable provisions of this act."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act may not be applied to private property until all public property is fully compliant with the provisions of the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7aa781954663" /></Relationships>
</file>