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86885a12f4e8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CARL</w:t>
        </w:r>
      </w:r>
      <w:r>
        <w:rPr>
          <w:b/>
        </w:rPr>
        <w:t xml:space="preserve"> </w:t>
        <w:r>
          <w:rPr/>
          <w:t xml:space="preserve">S3778.1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  <w:r>
        <w:rPr>
          <w:b/>
        </w:rPr>
        <w:t xml:space="preserve">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147, line 4,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$1,500,000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147, line 5,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$2,000,000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147, line 10,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149, line 19, after "(j)(A)" strike "$2,039,000" and insert "$539,000"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149, line 20, after "2020 and" strike "$2,540,000" and insert "$540,000"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197, line 5,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$1,500,000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197, line 6,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$2,000,000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197, line 20,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206, line 22, after "(34)" strike "$2,145,000" and insert "$3,645,000"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206, line 23, after "2020 and" strike "$2,145,000" and insert "$4,145,000"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207, after line 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"(c) Of the amounts provided in this subsection (34), $684,000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and $684,000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are provided solely for the demonstration site established with funding provided in the 2017-2019 omnibus appropriations act, chapter 1, Laws of 2017, 3rd sp. sess., as amended."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funding provided for the Treehouse Graduation Success program ($1.5 million in Fiscal Year 2020 and $2.0 million in Fiscal Year 2021) is moved from the Department of Children, Youth, and Families to the Office of the Superintendent of Public Instruction.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db48ef38e4b7e" /></Relationships>
</file>