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dafd7c7654ab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S3704.1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22,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$2,003,000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28,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beginning on line 37, strike all of subsection (7)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Within existing resources, the office will reimburse the Washington state patrol for increased executive protection unit costs."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131, line 9,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$2,003,000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132, line 7,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139,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"(35) $2,003,000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is provided solely for additional breast, cervical, and colon cancer screenings."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391, line 16, decrease the general fund—state appropriation for fiscal year 2019 by $1,471,000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391, line 22,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392, beginning on line 18, strike all of subsection (6)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(6) Within existing resources, the office will reimburse the Washington state patrol for increased executive protection unit costs.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550, line 37,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2019 by $1,471,000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551, line 38,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564,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(52) $1,471,000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2019 is provided solely for additional breast, cervical, and colon cancer screenings.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Assumes any increase in costs for the executive protection unit will be covered within existing resources of the Office of the Governor and reimbursed to Washington State Patrol. The $1,471,000 in Fiscal Year 2019 and $2,003,000 in Fiscal Year 2020 is provided for the Department of Health for additional breast, cervical, and colon cancer screenings.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(2017-2019):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87c9708a4f4d" /></Relationships>
</file>