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1e8a54c6784ca9" /></Relationships>
</file>

<file path=word/document.xml><?xml version="1.0" encoding="utf-8"?>
<w:document xmlns:w="http://schemas.openxmlformats.org/wordprocessingml/2006/main">
  <w:body>
    <w:p>
      <w:r>
        <w:rPr>
          <w:b/>
        </w:rPr>
        <w:r>
          <w:rPr/>
          <w:t xml:space="preserve">6617-S.E</w:t>
        </w:r>
      </w:r>
      <w:r>
        <w:rPr>
          <w:b/>
        </w:rPr>
        <w:t xml:space="preserve"> </w:t>
        <w:t xml:space="preserve">AMH</w:t>
      </w:r>
      <w:r>
        <w:rPr>
          <w:b/>
        </w:rPr>
        <w:t xml:space="preserve"> </w:t>
        <w:r>
          <w:rPr/>
          <w:t xml:space="preserve">ENVI</w:t>
        </w:r>
      </w:r>
      <w:r>
        <w:rPr>
          <w:b/>
        </w:rPr>
        <w:t xml:space="preserve"> </w:t>
        <w:r>
          <w:rPr/>
          <w:t xml:space="preserve">H5142.2</w:t>
        </w:r>
      </w:r>
      <w:r>
        <w:rPr>
          <w:b/>
        </w:rPr>
        <w:t xml:space="preserve"> - NOT FOR FLOOR USE</w:t>
      </w:r>
    </w:p>
    <w:p>
      <w:pPr>
        <w:ind w:left="0" w:right="0" w:firstLine="576"/>
      </w:pPr>
    </w:p>
    <w:p>
      <w:pPr>
        <w:spacing w:before="480" w:after="0" w:line="408" w:lineRule="exact"/>
      </w:pPr>
      <w:r>
        <w:rPr>
          <w:b/>
          <w:u w:val="single"/>
        </w:rPr>
        <w:t xml:space="preserve">ESSB 6617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NOT 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for renters, across the income spectrum. Accessory dwelling units are frequently rented at below market rate, providing additional affordable housing options for renters.</w:t>
      </w:r>
    </w:p>
    <w:p>
      <w:pPr>
        <w:spacing w:before="0" w:after="0" w:line="408" w:lineRule="exact"/>
        <w:ind w:left="0" w:right="0" w:firstLine="576"/>
        <w:jc w:val="left"/>
      </w:pPr>
      <w:r>
        <w:rPr/>
        <w:t xml:space="preserve">(b)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scarce subsidized housing space and resources.</w:t>
      </w:r>
    </w:p>
    <w:p>
      <w:pPr>
        <w:spacing w:before="0" w:after="0" w:line="408" w:lineRule="exact"/>
        <w:ind w:left="0" w:right="0" w:firstLine="576"/>
        <w:jc w:val="left"/>
      </w:pPr>
      <w:r>
        <w:rPr/>
        <w:t xml:space="preserve">(c)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(d) Homeowners who add an accessory dwelling unit may benefit from added income and an increased sense of security.</w:t>
      </w:r>
    </w:p>
    <w:p>
      <w:pPr>
        <w:spacing w:before="0" w:after="0" w:line="408" w:lineRule="exact"/>
        <w:ind w:left="0" w:right="0" w:firstLine="576"/>
        <w:jc w:val="left"/>
      </w:pPr>
      <w:r>
        <w:rPr/>
        <w:t xml:space="preserve">(e) Siting accessory dwelling units near transit hubs and near public amenities can help to reduce greenhouse gas emissions by increasing walkability, shortening household commutes, and limiting sprawl.</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rPr/>
        <w:t xml:space="preserve">(5)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(6)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fifteen minutes during the peak hours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must adopt or amend by ordinance, and incorporate into their development regulations, zoning regulations, and other official controls the requirements of section 4(2) of this act to take effect by July 1, 2021.</w:t>
      </w:r>
    </w:p>
    <w:p>
      <w:pPr>
        <w:spacing w:before="0" w:after="0" w:line="408" w:lineRule="exact"/>
        <w:ind w:left="0" w:right="0" w:firstLine="576"/>
        <w:jc w:val="left"/>
      </w:pPr>
      <w:r>
        <w:rPr/>
        <w:t xml:space="preserve">(b) Beginning July 1, 2021, the requirements of section 4(2) of this act:</w:t>
      </w:r>
    </w:p>
    <w:p>
      <w:pPr>
        <w:spacing w:before="0" w:after="0" w:line="408" w:lineRule="exact"/>
        <w:ind w:left="0" w:right="0" w:firstLine="576"/>
        <w:jc w:val="left"/>
      </w:pPr>
      <w:r>
        <w:rPr/>
        <w:t xml:space="preserve">(i)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(ii) Supersede, preempt, and invalidate any local development regulations that conflict with section 4(2) of this act.</w:t>
      </w:r>
    </w:p>
    <w:p>
      <w:pPr>
        <w:spacing w:before="0" w:after="0" w:line="408" w:lineRule="exact"/>
        <w:ind w:left="0" w:right="0" w:firstLine="576"/>
        <w:jc w:val="left"/>
      </w:pPr>
      <w:r>
        <w:rPr/>
        <w:t xml:space="preserve">(2) Any action taken by a city that is authorized or required under section 4 of this act is not subject to legal challenge under this chapter or chapter 43.21C RCW, except that ordinances, regulations, and other official controls are subject to legal challenge if authorization is provided for the siting of accessory dwelling units on properties zoned such that single-family housing units are a nonconforming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Through the adoption or amendment of ordinances, development regulations, zoning regulations, and other official controls, cities:</w:t>
      </w:r>
    </w:p>
    <w:p>
      <w:pPr>
        <w:spacing w:before="0" w:after="0" w:line="408" w:lineRule="exact"/>
        <w:ind w:left="0" w:right="0" w:firstLine="576"/>
        <w:jc w:val="left"/>
      </w:pPr>
      <w:r>
        <w:rPr/>
        <w:t xml:space="preserve">(a) May allow up to two accessory dwelling units on all lots on which there is a single-family housing unit, duplex, triplex, fourplex, rowhouse, townhome, or apartment building, regardless of zoning district; the accessory dwelling units allowed under this subsection may be either attached accessory dwelling units or detached accessory dwelling units.</w:t>
      </w:r>
    </w:p>
    <w:p>
      <w:pPr>
        <w:spacing w:before="0" w:after="0" w:line="408" w:lineRule="exact"/>
        <w:ind w:left="0" w:right="0" w:firstLine="576"/>
        <w:jc w:val="left"/>
      </w:pPr>
      <w:r>
        <w:rPr/>
        <w:t xml:space="preserve">(b) May remove any requirement that the owner of a lot on which there is an accessory dwelling unit reside in or occupy the accessory dwelling unit or another housing unit on the same lot.</w:t>
      </w:r>
    </w:p>
    <w:p>
      <w:pPr>
        <w:spacing w:before="0" w:after="0" w:line="408" w:lineRule="exact"/>
        <w:ind w:left="0" w:right="0" w:firstLine="576"/>
        <w:jc w:val="left"/>
      </w:pPr>
      <w:r>
        <w:rPr/>
        <w:t xml:space="preserve">(2)(a) Except as provided in (b) of this subsection, through ordinances, development regulations, zoning regulations, and other official controls as required under section 3 of this act, cities may not require the provision of off-street parking for accessory dwelling units within one-quarter mile of a major transit stop.</w:t>
      </w:r>
    </w:p>
    <w:p>
      <w:pPr>
        <w:spacing w:before="0" w:after="0" w:line="408" w:lineRule="exact"/>
        <w:ind w:left="0" w:right="0" w:firstLine="576"/>
        <w:jc w:val="left"/>
      </w:pPr>
      <w:r>
        <w:rPr/>
        <w:t xml:space="preserve">(b)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u w:val="single"/>
        </w:rPr>
        <w:t xml:space="preserve">(1)</w:t>
      </w:r>
      <w:r>
        <w:rPr/>
        <w:t xml:space="preserve"> If adopted by April 1, 2021,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consistent with sections 3 and 4 of this act are not subject to administrative or judicial appeals under this chapter.</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makes the following changes to the Engrossed Substitute Senate Bill:</w:t>
      </w:r>
    </w:p>
    <w:p>
      <w:pPr>
        <w:spacing w:before="0" w:after="0" w:line="408" w:lineRule="exact"/>
        <w:ind w:left="0" w:right="0" w:firstLine="576"/>
        <w:jc w:val="left"/>
      </w:pPr>
      <w:r>
        <w:rPr/>
        <w:t xml:space="preserve">(1) Limits the scope of the bill to cities, and provides that accessory dwelling unit (ADU) requirements and the State Environmental Policy Act appeal exemption do not apply to counties;</w:t>
      </w:r>
    </w:p>
    <w:p>
      <w:pPr>
        <w:spacing w:before="0" w:after="0" w:line="408" w:lineRule="exact"/>
        <w:ind w:left="0" w:right="0" w:firstLine="576"/>
        <w:jc w:val="left"/>
      </w:pPr>
      <w:r>
        <w:rPr/>
        <w:t xml:space="preserve">(2) Amends the areas in which cities may require off-street parking associated with the development of ADUs to include areas that are at least one-quarter of a mile away from a major transit stop, rather than one-half of a mile away from a major transit stop;</w:t>
      </w:r>
    </w:p>
    <w:p>
      <w:pPr>
        <w:spacing w:before="0" w:after="0" w:line="408" w:lineRule="exact"/>
        <w:ind w:left="0" w:right="0" w:firstLine="576"/>
        <w:jc w:val="left"/>
      </w:pPr>
      <w:r>
        <w:rPr/>
        <w:t xml:space="preserve">(3) Limits the types of bus and other fixed route service stops that qualify as major transit stops to those that are served every 15 minutes during peak hours of operation;</w:t>
      </w:r>
    </w:p>
    <w:p>
      <w:pPr>
        <w:spacing w:before="0" w:after="0" w:line="408" w:lineRule="exact"/>
        <w:ind w:left="0" w:right="0" w:firstLine="576"/>
        <w:jc w:val="left"/>
      </w:pPr>
      <w:r>
        <w:rPr/>
        <w:t xml:space="preserve">(4) Makes technical corrections to clarify that the only ADU policies that are mandatory for cities is the prohibition on requiring parking associated with ADUs near major transit stops;</w:t>
      </w:r>
    </w:p>
    <w:p>
      <w:pPr>
        <w:spacing w:before="0" w:after="0" w:line="408" w:lineRule="exact"/>
        <w:ind w:left="0" w:right="0" w:firstLine="576"/>
        <w:jc w:val="left"/>
      </w:pPr>
      <w:r>
        <w:rPr/>
        <w:t xml:space="preserve">(5) Provides that local ordinances and development regulations are not subject to the exemption from appeal under the Growth Management Act or the State Environmental Policy Act if authorization is provided for the siting of accessory dwelling units on properties zoned such that single-family housing units are a nonconforming use; and</w:t>
      </w:r>
    </w:p>
    <w:p>
      <w:pPr>
        <w:spacing w:before="0" w:after="0" w:line="408" w:lineRule="exact"/>
        <w:ind w:left="0" w:right="0" w:firstLine="576"/>
        <w:jc w:val="left"/>
      </w:pPr>
      <w:r>
        <w:rPr/>
        <w:t xml:space="preserve">(6) Authorizes cities to require parking associated with an accessory dwelling unit (ADU) located within one quarter of a mile from a major transit stop if the city has determined that the ADU is in an area with a lack of access to street parking capacity, physical space impediments, or other reasons supported by evidence that would make on-street parking infeasible.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370740b554411b" /></Relationships>
</file>