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2fb03b52e0449a" /></Relationships>
</file>

<file path=word/document.xml><?xml version="1.0" encoding="utf-8"?>
<w:document xmlns:w="http://schemas.openxmlformats.org/wordprocessingml/2006/main">
  <w:body>
    <w:p>
      <w:r>
        <w:rPr>
          <w:b/>
        </w:rPr>
        <w:r>
          <w:rPr/>
          <w:t xml:space="preserve">6097-S.E</w:t>
        </w:r>
      </w:r>
      <w:r>
        <w:rPr>
          <w:b/>
        </w:rPr>
        <w:t xml:space="preserve"> </w:t>
        <w:t xml:space="preserve">AMH</w:t>
      </w:r>
      <w:r>
        <w:rPr>
          <w:b/>
        </w:rPr>
        <w:t xml:space="preserve"> </w:t>
        <w:r>
          <w:rPr/>
          <w:t xml:space="preserve">HCW</w:t>
        </w:r>
      </w:r>
      <w:r>
        <w:rPr>
          <w:b/>
        </w:rPr>
        <w:t xml:space="preserve"> </w:t>
        <w:r>
          <w:rPr/>
          <w:t xml:space="preserve">H5108.1</w:t>
        </w:r>
      </w:r>
      <w:r>
        <w:rPr>
          <w:b/>
        </w:rPr>
        <w:t xml:space="preserve"> - NOT FOR FLOOR USE</w:t>
      </w:r>
    </w:p>
    <w:p>
      <w:pPr>
        <w:ind w:left="0" w:right="0" w:firstLine="576"/>
      </w:pPr>
      <w:r>
        <w:rPr/>
        <w:t xml:space="preserve"> </w:t>
      </w:r>
    </w:p>
    <w:p>
      <w:pPr>
        <w:spacing w:before="480" w:after="0" w:line="408" w:lineRule="exact"/>
      </w:pPr>
      <w:r>
        <w:rPr>
          <w:b/>
          <w:u w:val="single"/>
        </w:rPr>
        <w:t xml:space="preserve">ESSB 6097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individual and small group rate filings with an effective date on or after January 1, 2021, submitted by a health carrier for either the individual or small group markets, the commissioner may review the carrier's surplus, capital, or profit levels as an element in determining the reasonableness of the proposed rate.</w:t>
      </w:r>
    </w:p>
    <w:p>
      <w:pPr>
        <w:spacing w:before="0" w:after="0" w:line="408" w:lineRule="exact"/>
        <w:ind w:left="0" w:right="0" w:firstLine="576"/>
        <w:jc w:val="left"/>
      </w:pPr>
      <w:r>
        <w:rPr/>
        <w:t xml:space="preserve">(2) In reviewing the surplus, capital, or profit levels, the commissioner must take into consideration the current capital facility needs for carriers, including those maintaining and operating hospital and clinical facilities.</w:t>
      </w:r>
    </w:p>
    <w:p>
      <w:pPr>
        <w:spacing w:before="0" w:after="0" w:line="408" w:lineRule="exact"/>
        <w:ind w:left="0" w:right="0" w:firstLine="576"/>
        <w:jc w:val="left"/>
      </w:pPr>
      <w:r>
        <w:rPr/>
        <w:t xml:space="preserve">(3) Except as provided in subsection (1) of this section, this section does not affect the rate review authority granted to the commissioner by chapter 48.19, 48.44, or 48.46 RCW.</w:t>
      </w:r>
    </w:p>
    <w:p>
      <w:pPr>
        <w:spacing w:before="0" w:after="0" w:line="408" w:lineRule="exact"/>
        <w:ind w:left="0" w:right="0" w:firstLine="576"/>
        <w:jc w:val="left"/>
      </w:pPr>
      <w:r>
        <w:rPr/>
        <w:t xml:space="preserve">(4) Nothing in this section affects the requirement that all approved individual and small group rates be actuarially sound according to chapter 48.19, 48.44, or 48.46 RCW.</w:t>
      </w:r>
    </w:p>
    <w:p>
      <w:pPr>
        <w:spacing w:before="0" w:after="0" w:line="408" w:lineRule="exact"/>
        <w:ind w:left="0" w:right="0" w:firstLine="576"/>
        <w:jc w:val="left"/>
      </w:pPr>
      <w:r>
        <w:rPr/>
        <w:t xml:space="preserve">(5) The commissioner may adopt rules to implement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that the Insurance Commissioner's authority to consider a carrier's surplus, capital, or profit levels applies to all individual and small group market filings, instead of only for nonprofit insurers. Removes the requirement that the Insurance Commissioner take into consideration whether a carrier's insurance holding company system offers a qualified health plan in every county of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2bdac22d0a4fcd" /></Relationships>
</file>