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a5bd05a34f1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DENT</w:t>
        </w:r>
      </w:r>
      <w:r>
        <w:rPr>
          <w:b/>
        </w:rPr>
        <w:t xml:space="preserve"> </w:t>
        <w:r>
          <w:rPr/>
          <w:t xml:space="preserve">H3132.2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5993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Dent</w:t>
      </w:r>
    </w:p>
    <w:p>
      <w:pPr>
        <w:jc w:val="right"/>
      </w:pPr>
      <w:r>
        <w:rPr>
          <w:b/>
        </w:rPr>
        <w:t xml:space="preserve">NOT ADOPTED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after line 27,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415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automatic expiration date provisions of RCW 82.32.805(1)(a) do not apply to section 1902, chapter 6, Laws of 2015 3rd sp. sess."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Repeals the expiration of the exclusion of agricultural hazardous substances.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Unknown.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e6412ee60409e" /></Relationships>
</file>