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daefd51882499f" /></Relationships>
</file>

<file path=word/document.xml><?xml version="1.0" encoding="utf-8"?>
<w:document xmlns:w="http://schemas.openxmlformats.org/wordprocessingml/2006/main">
  <w:body>
    <w:p>
      <w:r>
        <w:rPr>
          <w:b/>
        </w:rPr>
        <w:r>
          <w:rPr/>
          <w:t xml:space="preserve">5851-S</w:t>
        </w:r>
      </w:r>
      <w:r>
        <w:rPr>
          <w:b/>
        </w:rPr>
        <w:t xml:space="preserve"> </w:t>
        <w:t xml:space="preserve">AMH</w:t>
      </w:r>
      <w:r>
        <w:rPr>
          <w:b/>
        </w:rPr>
        <w:t xml:space="preserve"> </w:t>
        <w:r>
          <w:rPr/>
          <w:t xml:space="preserve">APP</w:t>
        </w:r>
      </w:r>
      <w:r>
        <w:rPr>
          <w:b/>
        </w:rPr>
        <w:t xml:space="preserve"> </w:t>
        <w:r>
          <w:rPr/>
          <w:t xml:space="preserve">H2708.1</w:t>
        </w:r>
      </w:r>
      <w:r>
        <w:rPr>
          <w:b/>
        </w:rPr>
        <w:t xml:space="preserve"> - NOT FOR FLOOR USE</w:t>
      </w:r>
    </w:p>
    <w:p>
      <w:pPr>
        <w:ind w:left="0" w:right="0" w:firstLine="576"/>
      </w:pPr>
    </w:p>
    <w:p>
      <w:pPr>
        <w:spacing w:before="480" w:after="0" w:line="408" w:lineRule="exact"/>
      </w:pPr>
      <w:r>
        <w:rPr>
          <w:b/>
          <w:u w:val="single"/>
        </w:rPr>
        <w:t xml:space="preserve">SSB 5851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NOT ADOPTED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520</w:t>
      </w:r>
      <w:r>
        <w:rPr/>
        <w:t xml:space="preserve"> and 2015 3rd sp.s. c 44 s 423 are each amended to read as follows:</w:t>
      </w:r>
    </w:p>
    <w:p>
      <w:pPr>
        <w:spacing w:before="0" w:after="0" w:line="408" w:lineRule="exact"/>
        <w:ind w:left="0" w:right="0" w:firstLine="576"/>
        <w:jc w:val="left"/>
      </w:pPr>
      <w:r>
        <w:rPr/>
        <w:t xml:space="preserve">(1) The Puget Sound taxpayer accountability account is created in the state treasury. Moneys in the account may be spent only after appropriation. Expenditures from the account may only be used for distribution to </w:t>
      </w:r>
      <w:r>
        <w:rPr>
          <w:u w:val="single"/>
        </w:rPr>
        <w:t xml:space="preserve">or appropriation for contracted services in</w:t>
      </w:r>
      <w:r>
        <w:rPr/>
        <w:t xml:space="preserve"> counties where a portion of the county is within the boundaries of a regional transit authority that includes a county with a population of one million five hundred thousand or more. Counties </w:t>
      </w:r>
      <w:r>
        <w:rPr>
          <w:u w:val="single"/>
        </w:rPr>
        <w:t xml:space="preserve">and contracted service providers</w:t>
      </w:r>
      <w:r>
        <w:rPr/>
        <w:t xml:space="preserve"> may use distributions from the account only </w:t>
      </w:r>
      <w:r>
        <w:t>((</w:t>
      </w:r>
      <w:r>
        <w:rPr>
          <w:strike/>
        </w:rPr>
        <w:t xml:space="preserve">for educational services</w:t>
      </w:r>
      <w:r>
        <w:t>))</w:t>
      </w:r>
      <w:r>
        <w:rPr/>
        <w:t xml:space="preserve"> to improve educational outcomes in early learning, K-12, and higher education including, but not limited to, for </w:t>
      </w:r>
      <w:r>
        <w:t>((</w:t>
      </w:r>
      <w:r>
        <w:rPr>
          <w:strike/>
        </w:rPr>
        <w:t xml:space="preserve">youths</w:t>
      </w:r>
      <w:r>
        <w:t>))</w:t>
      </w:r>
      <w:r>
        <w:rPr/>
        <w:t xml:space="preserve"> </w:t>
      </w:r>
      <w:r>
        <w:rPr>
          <w:u w:val="single"/>
        </w:rPr>
        <w:t xml:space="preserve">facilities and programs for children and youth</w:t>
      </w:r>
      <w:r>
        <w:rPr/>
        <w:t xml:space="preserve"> that are low-income, homeless, or in foster care, or other vulnerable populations</w:t>
      </w:r>
      <w:r>
        <w:rPr>
          <w:u w:val="single"/>
        </w:rPr>
        <w:t xml:space="preserve">; and for the purposes in subsection (2) of this section</w:t>
      </w:r>
      <w:r>
        <w:rPr/>
        <w:t xml:space="preserve">. </w:t>
      </w:r>
      <w:r>
        <w:t>((</w:t>
      </w:r>
      <w:r>
        <w:rPr>
          <w:strike/>
        </w:rPr>
        <w:t xml:space="preserve">Counties</w:t>
      </w:r>
      <w:r>
        <w:t>))</w:t>
      </w:r>
      <w:r>
        <w:rPr/>
        <w:t xml:space="preserve"> </w:t>
      </w:r>
      <w:r>
        <w:rPr>
          <w:u w:val="single"/>
        </w:rPr>
        <w:t xml:space="preserve">Entities</w:t>
      </w:r>
      <w:r>
        <w:rPr/>
        <w:t xml:space="preserve"> receiving distributions under this section must track all expenditures and uses of the funds. To the greatest extent practicable, the expenditures of the counties must follow the requirements of any transportation subarea equity element used by the regional transit authority.</w:t>
      </w:r>
    </w:p>
    <w:p>
      <w:pPr>
        <w:spacing w:before="0" w:after="0" w:line="408" w:lineRule="exact"/>
        <w:ind w:left="0" w:right="0" w:firstLine="576"/>
        <w:jc w:val="left"/>
      </w:pPr>
      <w:r>
        <w:rPr/>
        <w:t xml:space="preserve">(2) </w:t>
      </w:r>
      <w:r>
        <w:rPr>
          <w:u w:val="single"/>
        </w:rPr>
        <w:t xml:space="preserve">Counties that directly receive distributions under this section may use distributions under this section to start endowments to provide support for improving educational outcomes in early learning, K-12, and higher education.</w:t>
      </w:r>
    </w:p>
    <w:p>
      <w:pPr>
        <w:spacing w:before="0" w:after="0" w:line="408" w:lineRule="exact"/>
        <w:ind w:left="0" w:right="0" w:firstLine="576"/>
        <w:jc w:val="left"/>
      </w:pPr>
      <w:r>
        <w:rPr>
          <w:u w:val="single"/>
        </w:rPr>
        <w:t xml:space="preserve">(3)(a) Except as provided in (b) of this subsection, b</w:t>
      </w:r>
      <w:r>
        <w:rPr/>
        <w:t xml:space="preserve">eginning September 1, 2017, and by the last day of September, December, March, and June of each year thereafter, the state treasurer </w:t>
      </w:r>
      <w:r>
        <w:t>((</w:t>
      </w:r>
      <w:r>
        <w:rPr>
          <w:strike/>
        </w:rPr>
        <w:t xml:space="preserve">shall</w:t>
      </w:r>
      <w:r>
        <w:t>))</w:t>
      </w:r>
      <w:r>
        <w:rPr/>
        <w:t xml:space="preserve"> </w:t>
      </w:r>
      <w:r>
        <w:rPr>
          <w:u w:val="single"/>
        </w:rPr>
        <w:t xml:space="preserve">must</w:t>
      </w:r>
      <w:r>
        <w:rPr/>
        <w:t xml:space="preserve"> distribute moneys deposited in the Puget Sound taxpayer accountability account to counties for which a portion of the county is within the boundaries of a regional transit authority that includes a county with a population of one million five hundred thousand. The treasurer must make the distribution to the counties on the relative basis of that transit authority's population that lives within the respective counties.</w:t>
      </w:r>
    </w:p>
    <w:p>
      <w:pPr>
        <w:spacing w:before="0" w:after="0" w:line="408" w:lineRule="exact"/>
        <w:ind w:left="0" w:right="0" w:firstLine="576"/>
        <w:jc w:val="left"/>
      </w:pPr>
      <w:r>
        <w:rPr>
          <w:u w:val="single"/>
        </w:rPr>
        <w:t xml:space="preserve">(b) If a county has not adopted a sales and use tax under RCW 82.14.460 before July 1, 2019, then in lieu of distributing to the county under (a) of this subsection the legislature may appropriate the distribution attributable to that county to the department of commerce for expenditure in that county under a contract with a nonprofit community service organization. The contract must be for services that will improve educational outcomes as described in subsection (1) of this section and the contractor must have broad experience in administering grants and contracts for education-related services in the county. The legislature may also appropriate a portion of that distribution to the department of commerce for expenditure as capital facilities grants in that county for purposes of subsection (1) of this section, subject to the matching and oversight requirements of RCW 43.63A.125 (2)(c), (5), and (6).</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Revises how Puget Sound Taxpayer Accountability Account (PSTAA) distributions are made to counties. If a county has not adopted the local option sales and use tax for chemical dependency/mental health/therapeutic courts by July 1, 2019, then the Legislature may appropriate the PSTAA moneys for use in the county rather than distributing the PSTAA revenues directly to the county. In that case, the Legislature must appropriate that county's portion of the PSTAA revenues to the Department of Commerce for services or capital grants. For services, the Department must contract with an experienced provider for services that will improve educational outcomes. The Legislature may also appropriate this funding for facilities grants under the same matching and Commerce oversight requirements as the existing Building Communities Fund program. Conforming changes are made to distribution language and to clarify that a county which does not receive PSTAA distributions directly may use these revenues to create endowments.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4376ba3799419a" /></Relationships>
</file>