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6365c91d14d6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5395-S.E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KRAF</w:t>
        </w:r>
      </w:r>
      <w:r>
        <w:rPr>
          <w:b/>
        </w:rPr>
        <w:t xml:space="preserve"> </w:t>
        <w:r>
          <w:rPr/>
          <w:t xml:space="preserve">H5288.1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5395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1781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Kraft</w:t>
      </w:r>
    </w:p>
    <w:p>
      <w:pPr>
        <w:jc w:val="right"/>
      </w:pPr>
      <w:r>
        <w:rPr>
          <w:b/>
        </w:rPr>
        <w:t xml:space="preserve">WITHDRAWN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24, after "</w:t>
      </w:r>
      <w:r>
        <w:rPr>
          <w:u w:val="single"/>
        </w:rPr>
        <w:t xml:space="preserve">(9)</w:t>
      </w:r>
      <w:r>
        <w:rPr/>
        <w:t xml:space="preserve">" insert "</w:t>
      </w:r>
      <w:r>
        <w:rPr>
          <w:u w:val="single"/>
        </w:rPr>
        <w:t xml:space="preserve">At least fifty percent of the instructional hours for comprehensive sexual health education, on a per classroom basis, must be devoted to instruction about the risks of engaging in sexual activity.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(10)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Specifies that no less than 50 percent of the instructional hours for comprehensive sexual health education, on a per classroom basis, must be devoted to instruction in the risks of engaging in sexual activity.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540a4ef6d45ee" /></Relationships>
</file>