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faac535be46a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5395-S.E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KRAF</w:t>
        </w:r>
      </w:r>
      <w:r>
        <w:rPr>
          <w:b/>
        </w:rPr>
        <w:t xml:space="preserve"> </w:t>
        <w:r>
          <w:rPr/>
          <w:t xml:space="preserve">H5220.1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5395</w:t>
      </w:r>
      <w:r>
        <w:t xml:space="preserve"> -</w:t>
      </w:r>
      <w:r>
        <w:t xml:space="preserve"> </w:t>
        <w:t xml:space="preserve">H AMD TO ED COMM AMD (H-4971.4/20)</w:t>
      </w:r>
      <w:r>
        <w:t xml:space="preserve"> </w:t>
      </w:r>
      <w:r>
        <w:rPr>
          <w:b/>
        </w:rPr>
        <w:t xml:space="preserve">1745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Kraft</w:t>
      </w:r>
    </w:p>
    <w:p>
      <w:pPr>
        <w:jc w:val="right"/>
      </w:pPr>
      <w:r>
        <w:rPr>
          <w:b/>
        </w:rPr>
        <w:t xml:space="preserve">WITHDRAWN 03/04/2020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3, after "</w:t>
      </w:r>
      <w:r>
        <w:rPr>
          <w:u w:val="single"/>
        </w:rPr>
        <w:t xml:space="preserve">(10)</w:t>
      </w:r>
      <w:r>
        <w:rPr/>
        <w:t xml:space="preserve">" insert "</w:t>
      </w:r>
      <w:r>
        <w:rPr>
          <w:u w:val="single"/>
        </w:rPr>
        <w:t xml:space="preserve">Comprehensive sexual health education curriculum, materials, and instruction may not require students to research genitals, genital-related anatomy, or sex prevention devices on the internet.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(11)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Specifies that comprehensive sexual health education curriculum, materials, and instruction may not require students to research genitals, genital-related anatomy, or "sex prevention devices" on the internet.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dc28f978a40eb" /></Relationships>
</file>