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d6a10a60c84997" /></Relationships>
</file>

<file path=word/document.xml><?xml version="1.0" encoding="utf-8"?>
<w:document xmlns:w="http://schemas.openxmlformats.org/wordprocessingml/2006/main">
  <w:body>
    <w:p>
      <w:r>
        <w:rPr>
          <w:b/>
        </w:rPr>
        <w:r>
          <w:rPr/>
          <w:t xml:space="preserve">5318-S.E</w:t>
        </w:r>
      </w:r>
      <w:r>
        <w:rPr>
          <w:b/>
        </w:rPr>
        <w:t xml:space="preserve"> </w:t>
        <w:t xml:space="preserve">AMH</w:t>
      </w:r>
      <w:r>
        <w:rPr>
          <w:b/>
        </w:rPr>
        <w:t xml:space="preserve"> </w:t>
        <w:r>
          <w:rPr/>
          <w:t xml:space="preserve">ENGR</w:t>
        </w:r>
      </w:r>
      <w:r>
        <w:rPr>
          <w:b/>
        </w:rPr>
        <w:t xml:space="preserve"> </w:t>
        <w:r>
          <w:rPr/>
          <w:t xml:space="preserve">H2875.E</w:t>
        </w:r>
      </w:r>
      <w:r>
        <w:rPr>
          <w:b/>
        </w:rPr>
        <w:t xml:space="preserve"> - NOT FOR FLOOR USE</w:t>
      </w:r>
    </w:p>
    <w:p>
      <w:pPr>
        <w:ind w:left="0" w:right="0" w:firstLine="576"/>
      </w:pPr>
    </w:p>
    <w:p>
      <w:pPr>
        <w:spacing w:before="480" w:after="0" w:line="408" w:lineRule="exact"/>
      </w:pPr>
      <w:r>
        <w:rPr>
          <w:b/>
          <w:u w:val="single"/>
        </w:rPr>
        <w:t xml:space="preserve">ESSB 5318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4/16/19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In the years since the creation of a legal and regulated marketplace for adult use of cannabis, the industry, stakeholders, and state agencies have collaborated to develop a safe, fully regulated marketplace.</w:t>
      </w:r>
    </w:p>
    <w:p>
      <w:pPr>
        <w:spacing w:before="0" w:after="0" w:line="408" w:lineRule="exact"/>
        <w:ind w:left="0" w:right="0" w:firstLine="576"/>
        <w:jc w:val="left"/>
      </w:pPr>
      <w:r>
        <w:rPr/>
        <w:t xml:space="preserve">(2) As the regulated marketplace has been developing, Washington residents with a strong entrepreneurial spirit have taken great financial and personal risk to become licensed and part of this nascent industry.</w:t>
      </w:r>
    </w:p>
    <w:p>
      <w:pPr>
        <w:spacing w:before="0" w:after="0" w:line="408" w:lineRule="exact"/>
        <w:ind w:left="0" w:right="0" w:firstLine="576"/>
        <w:jc w:val="left"/>
      </w:pPr>
      <w:r>
        <w:rPr/>
        <w:t xml:space="preserve">(3) It should not be surprising that mistakes have been made both by licensees and regulators, and that both have learned from these mistakes leading to a stronger, safer industry.</w:t>
      </w:r>
    </w:p>
    <w:p>
      <w:pPr>
        <w:spacing w:before="0" w:after="0" w:line="408" w:lineRule="exact"/>
        <w:ind w:left="0" w:right="0" w:firstLine="576"/>
        <w:jc w:val="left"/>
      </w:pPr>
      <w:r>
        <w:rPr/>
        <w:t xml:space="preserve">(4) While a strong focus on enforcement is an important component of the regulated marketplace, a strong focus on compliance and education is also critically necessary to assist licensees who strive for compliance and in order to allow the board to focus its enforcement priorities on those violations that directly harm public health and safety.</w:t>
      </w:r>
    </w:p>
    <w:p>
      <w:pPr>
        <w:spacing w:before="0" w:after="0" w:line="408" w:lineRule="exact"/>
        <w:ind w:left="0" w:right="0" w:firstLine="576"/>
        <w:jc w:val="left"/>
      </w:pPr>
      <w:r>
        <w:rPr/>
        <w:t xml:space="preserve">(5) The risk taking entrepreneurs who are trying to comply with board regulations should not face punitive consequences for mistakes made during this initial phase of the industry that did not pose a direct threat to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If, during an inspection or visit to a marijuana business licensed under chapter 69.50 RCW that is not a technical assistance visit, the liquor and cannabis board becomes aware of conditions that are not in compliance with applicable laws and rules enforced by the board and are not subject to civil penalties as provided for in section 3 of this act, the board may issue a notice of correction to the licensee that includes:</w:t>
      </w:r>
    </w:p>
    <w:p>
      <w:pPr>
        <w:spacing w:before="0" w:after="0" w:line="408" w:lineRule="exact"/>
        <w:ind w:left="0" w:right="0" w:firstLine="576"/>
        <w:jc w:val="left"/>
      </w:pPr>
      <w:r>
        <w:rPr/>
        <w:t xml:space="preserve">(a) A description of the condition that is not in compliance and the text of the specific section or subsection of the applicable state law or rule;</w:t>
      </w:r>
    </w:p>
    <w:p>
      <w:pPr>
        <w:spacing w:before="0" w:after="0" w:line="408" w:lineRule="exact"/>
        <w:ind w:left="0" w:right="0" w:firstLine="576"/>
        <w:jc w:val="left"/>
      </w:pPr>
      <w:r>
        <w:rPr/>
        <w:t xml:space="preserve">(b) A statement of what is required to achieve compliance;</w:t>
      </w:r>
    </w:p>
    <w:p>
      <w:pPr>
        <w:spacing w:before="0" w:after="0" w:line="408" w:lineRule="exact"/>
        <w:ind w:left="0" w:right="0" w:firstLine="576"/>
        <w:jc w:val="left"/>
      </w:pPr>
      <w:r>
        <w:rPr/>
        <w:t xml:space="preserve">(c) The date by which the board requires compliance to be achieved;</w:t>
      </w:r>
    </w:p>
    <w:p>
      <w:pPr>
        <w:spacing w:before="0" w:after="0" w:line="408" w:lineRule="exact"/>
        <w:ind w:left="0" w:right="0" w:firstLine="576"/>
        <w:jc w:val="left"/>
      </w:pPr>
      <w:r>
        <w:rPr/>
        <w:t xml:space="preserve">(d) Notice of the means to contact any technical assistance services provided by the board or others; and</w:t>
      </w:r>
    </w:p>
    <w:p>
      <w:pPr>
        <w:spacing w:before="0" w:after="0" w:line="408" w:lineRule="exact"/>
        <w:ind w:left="0" w:right="0" w:firstLine="576"/>
        <w:jc w:val="left"/>
      </w:pPr>
      <w:r>
        <w:rPr/>
        <w:t xml:space="preserve">(e) Notice of when, where, and to whom a request to extend the time to achieve compliance for good cause may be filed with the board.</w:t>
      </w:r>
    </w:p>
    <w:p>
      <w:pPr>
        <w:spacing w:before="0" w:after="0" w:line="408" w:lineRule="exact"/>
        <w:ind w:left="0" w:right="0" w:firstLine="576"/>
        <w:jc w:val="left"/>
      </w:pPr>
      <w:r>
        <w:rPr/>
        <w:t xml:space="preserve">(2) A notice of correction is not a formal enforcement action, is not subject to appeal, and is a public record.</w:t>
      </w:r>
    </w:p>
    <w:p>
      <w:pPr>
        <w:spacing w:before="0" w:after="0" w:line="408" w:lineRule="exact"/>
        <w:ind w:left="0" w:right="0" w:firstLine="576"/>
        <w:jc w:val="left"/>
      </w:pPr>
      <w:r>
        <w:rPr/>
        <w:t xml:space="preserve">(3) If the liquor and cannabis board issues a notice of correction, it may not issue a civil penalty for the violations identified in the notice of correction unless the licensee fails to comply with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liquor and cannabis board may issue a civil penalty without first issuing a notice of correction if:</w:t>
      </w:r>
    </w:p>
    <w:p>
      <w:pPr>
        <w:spacing w:before="0" w:after="0" w:line="408" w:lineRule="exact"/>
        <w:ind w:left="0" w:right="0" w:firstLine="576"/>
        <w:jc w:val="left"/>
      </w:pPr>
      <w:r>
        <w:rPr/>
        <w:t xml:space="preserve">(a) The licensee has previously been subject to an enforcement action for the same or similar type of violation of the same statute or rule or has been given previous notice of the same or similar type of violation of the same statute or rule;</w:t>
      </w:r>
    </w:p>
    <w:p>
      <w:pPr>
        <w:spacing w:before="0" w:after="0" w:line="408" w:lineRule="exact"/>
        <w:ind w:left="0" w:right="0" w:firstLine="576"/>
        <w:jc w:val="left"/>
      </w:pPr>
      <w:r>
        <w:rPr/>
        <w:t xml:space="preserve">(b) Compliance is not achieved by the date established by the liquor and cannabis board in a previously issued notice of correction and if the board has responded to a request for review of the date by reaffirming the original date or establishing a new date; or</w:t>
      </w:r>
    </w:p>
    <w:p>
      <w:pPr>
        <w:spacing w:before="0" w:after="0" w:line="408" w:lineRule="exact"/>
        <w:ind w:left="0" w:right="0" w:firstLine="576"/>
        <w:jc w:val="left"/>
      </w:pPr>
      <w:r>
        <w:rPr/>
        <w:t xml:space="preserve">(c) The board can prove by a preponderance of the evidence:</w:t>
      </w:r>
    </w:p>
    <w:p>
      <w:pPr>
        <w:spacing w:before="0" w:after="0" w:line="408" w:lineRule="exact"/>
        <w:ind w:left="0" w:right="0" w:firstLine="576"/>
        <w:jc w:val="left"/>
      </w:pPr>
      <w:r>
        <w:rPr/>
        <w:t xml:space="preserve">(i) Diversion of marijuana product to the illicit market or sales across state lines;</w:t>
      </w:r>
    </w:p>
    <w:p>
      <w:pPr>
        <w:spacing w:before="0" w:after="0" w:line="408" w:lineRule="exact"/>
        <w:ind w:left="0" w:right="0" w:firstLine="576"/>
        <w:jc w:val="left"/>
      </w:pPr>
      <w:r>
        <w:rPr/>
        <w:t xml:space="preserve">(ii) Furnishing of marijuana product to minors;</w:t>
      </w:r>
    </w:p>
    <w:p>
      <w:pPr>
        <w:spacing w:before="0" w:after="0" w:line="408" w:lineRule="exact"/>
        <w:ind w:left="0" w:right="0" w:firstLine="576"/>
        <w:jc w:val="left"/>
      </w:pPr>
      <w:r>
        <w:rPr/>
        <w:t xml:space="preserve">(iii) Diversion of revenue to criminal enterprises, gangs, cartels, or parties not qualified to hold a marijuana license based on criminal history requirements;</w:t>
      </w:r>
    </w:p>
    <w:p>
      <w:pPr>
        <w:spacing w:before="0" w:after="0" w:line="408" w:lineRule="exact"/>
        <w:ind w:left="0" w:right="0" w:firstLine="576"/>
        <w:jc w:val="left"/>
      </w:pPr>
      <w:r>
        <w:rPr/>
        <w:t xml:space="preserve">(iv) The commission of nonmarijuana-related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is alleged to be, any of the violations identified in (c)(i) through (c)(iv) of this subsection (1).</w:t>
      </w:r>
    </w:p>
    <w:p>
      <w:pPr>
        <w:spacing w:before="0" w:after="0" w:line="408" w:lineRule="exact"/>
        <w:ind w:left="0" w:right="0" w:firstLine="576"/>
        <w:jc w:val="left"/>
      </w:pPr>
      <w:r>
        <w:rPr/>
        <w:t xml:space="preserve">(2) The liquor and cannabis board may adopt rules to implement this section and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2015 2nd sp.s. c 4 s 1601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cannabis health and beauty aids,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marijuana, marijuana concentrates, useable marijuana, and marijuana-infused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0" w:after="0" w:line="408" w:lineRule="exact"/>
        <w:ind w:left="0" w:right="0" w:firstLine="576"/>
        <w:jc w:val="left"/>
      </w:pPr>
      <w:r>
        <w:rPr>
          <w:u w:val="single"/>
        </w:rPr>
        <w:t xml:space="preserve">(3) The board must adopt rules to perfect and expand existing programs for compliance education for licensed marijuana businesses and their employees. The rules must include a voluntary compliance program created in consultation with licensed marijuana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board may grant a licensee's application for advice and consultation as provided in RCW 69.50.342(3) and visit the licensee's licensed premises in order to provide such advice and consultation. Advice and consultation services are limited to the matters specified in the request affecting the interpretation and applicability of the standards in this chapter to the conditions, structures, machines, equipment, apparatus, devices, materials, methods, means, and practices in the licensee's licensed premises. The board may provide for an alternative means of affording consultation and advice other than on-site consultation.</w:t>
      </w:r>
    </w:p>
    <w:p>
      <w:pPr>
        <w:spacing w:before="0" w:after="0" w:line="408" w:lineRule="exact"/>
        <w:ind w:left="0" w:right="0" w:firstLine="576"/>
        <w:jc w:val="left"/>
      </w:pPr>
      <w:r>
        <w:rPr/>
        <w:t xml:space="preserve">(2) The board must make recommendations on eliminating areas of concern disclosed within the scope of the on-site consultation. A visit to a licensee's licensed premises may not be considered an inspection or investigation under this chapter. During the visit, the board may not issue notices or citations and may not assess civil penalties. However, if the on-site visit discloses a violation with a direct or immediate relationship to public safety and the violation is not corrected, the board may investigate.</w:t>
      </w:r>
    </w:p>
    <w:p>
      <w:pPr>
        <w:spacing w:before="0" w:after="0" w:line="408" w:lineRule="exact"/>
        <w:ind w:left="0" w:right="0" w:firstLine="576"/>
        <w:jc w:val="left"/>
      </w:pPr>
      <w:r>
        <w:rPr/>
        <w:t xml:space="preserve">(3) This section does not provide immunity to a licensee who has applied for consultative services from inspections or investigations conducted under this chapter or from any inspection conducted as a result of a complaint before, during, or after the provision of consultative services.</w:t>
      </w:r>
    </w:p>
    <w:p>
      <w:pPr>
        <w:spacing w:before="0" w:after="0" w:line="408" w:lineRule="exact"/>
        <w:ind w:left="0" w:right="0" w:firstLine="576"/>
        <w:jc w:val="left"/>
      </w:pPr>
      <w:r>
        <w:rPr/>
        <w:t xml:space="preserve">(4) This section does not require an inspection of a licensee's licensed premises that has been visited for consultative purposes. However, if the premises are inspected after a visit, the board may consider any information obtained during the consultation visit in determining the nature of an alleged violation and the amount of penalties to be assessed, if any.</w:t>
      </w:r>
    </w:p>
    <w:p>
      <w:pPr>
        <w:spacing w:before="0" w:after="0" w:line="408" w:lineRule="exact"/>
        <w:ind w:left="0" w:right="0" w:firstLine="576"/>
        <w:jc w:val="left"/>
      </w:pPr>
      <w:r>
        <w:rPr/>
        <w:t xml:space="preserve">(5) Rules adopted under section 6 of this act must provide that violations with a direct or immediate relationship to public safety discovered during the consultation visit must be corrected within a specified period of time and an inspection must be conducted at the end of that time period.</w:t>
      </w:r>
    </w:p>
    <w:p>
      <w:pPr>
        <w:spacing w:before="0" w:after="0" w:line="408" w:lineRule="exact"/>
        <w:ind w:left="0" w:right="0" w:firstLine="576"/>
        <w:jc w:val="left"/>
      </w:pPr>
      <w:r>
        <w:rPr/>
        <w:t xml:space="preserve">(6) All licensees requesting consultative services must be advised of this section and the rules adopted by the board relating to the voluntary compliance program. Valuable formulae or financial or proprietary commercial information records received during a consultative visit or while providing consultative services in accordance with this section are not subject to inspection pursuant to chapter 42.56 RCW.</w:t>
      </w:r>
    </w:p>
    <w:p>
      <w:pPr>
        <w:spacing w:before="0" w:after="0" w:line="408" w:lineRule="exact"/>
        <w:ind w:left="0" w:right="0" w:firstLine="576"/>
        <w:jc w:val="left"/>
      </w:pPr>
      <w:r>
        <w:rPr/>
        <w:t xml:space="preserve">(7) The board may adopt rules on the frequency, manner, and method of providing consultative services to licensees. Rules may include scheduling of consultative services and prioritizing requests for the services while maintaining the enforcement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board must prescribe procedures for the following:</w:t>
      </w:r>
    </w:p>
    <w:p>
      <w:pPr>
        <w:spacing w:before="0" w:after="0" w:line="408" w:lineRule="exact"/>
        <w:ind w:left="0" w:right="0" w:firstLine="576"/>
        <w:jc w:val="left"/>
      </w:pPr>
      <w:r>
        <w:rPr/>
        <w:t xml:space="preserve">(a) Issuance of written warnings or notices to correct in lieu of penalties, sanctions, or other violations with respect to regulatory violations that have no direct or immediate relationship to public safety as defined by the board;</w:t>
      </w:r>
    </w:p>
    <w:p>
      <w:pPr>
        <w:spacing w:before="0" w:after="0" w:line="408" w:lineRule="exact"/>
        <w:ind w:left="0" w:right="0" w:firstLine="576"/>
        <w:jc w:val="left"/>
      </w:pPr>
      <w:r>
        <w:rPr/>
        <w:t xml:space="preserve">(b) Waiving any fines, civil penalties, or administrative sanctions for violations, that have no direct or immediate relationship to public safety, and are corrected by the licensee within a reasonable amount of time as designated by the board; and</w:t>
      </w:r>
    </w:p>
    <w:p>
      <w:pPr>
        <w:spacing w:before="0" w:after="0" w:line="408" w:lineRule="exact"/>
        <w:ind w:left="0" w:right="0" w:firstLine="576"/>
        <w:jc w:val="left"/>
      </w:pPr>
      <w:r>
        <w:rPr/>
        <w:t xml:space="preserve">(c) A compliance program in accordance with chapter 43.05 RCW and RCW 69.50.342, whereby licensees may request compliance assistance and inspections without issuance of a penalty, sanction, or other violation provided that any noncompliant issues are resolved within a specified period of time.</w:t>
      </w:r>
    </w:p>
    <w:p>
      <w:pPr>
        <w:spacing w:before="0" w:after="0" w:line="408" w:lineRule="exact"/>
        <w:ind w:left="0" w:right="0" w:firstLine="576"/>
        <w:jc w:val="left"/>
      </w:pPr>
      <w:r>
        <w:rPr/>
        <w:t xml:space="preserve">(2) The board must adopt rules prescribing penalties for violations of this chapter. The board:</w:t>
      </w:r>
    </w:p>
    <w:p>
      <w:pPr>
        <w:spacing w:before="0" w:after="0" w:line="408" w:lineRule="exact"/>
        <w:ind w:left="0" w:right="0" w:firstLine="576"/>
        <w:jc w:val="left"/>
      </w:pPr>
      <w:r>
        <w:rPr/>
        <w:t xml:space="preserve">(a) May establish escalating penalties for violation of this chapter, provided that the cumulative effect of any such escalating penalties cannot last beyond two years and the escalation applies only to multiple violations that are the same or similar in nature;</w:t>
      </w:r>
    </w:p>
    <w:p>
      <w:pPr>
        <w:spacing w:before="0" w:after="0" w:line="408" w:lineRule="exact"/>
        <w:ind w:left="0" w:right="0" w:firstLine="576"/>
        <w:jc w:val="left"/>
      </w:pPr>
      <w:r>
        <w:rPr/>
        <w:t xml:space="preserve">(b) May not include cancellation of a license for a single violation, unless the board can prove by a preponderance of the evidence:</w:t>
      </w:r>
    </w:p>
    <w:p>
      <w:pPr>
        <w:spacing w:before="0" w:after="0" w:line="408" w:lineRule="exact"/>
        <w:ind w:left="0" w:right="0" w:firstLine="576"/>
        <w:jc w:val="left"/>
      </w:pPr>
      <w:r>
        <w:rPr/>
        <w:t xml:space="preserve">(i) Diversion of marijuana product to the illicit market or sales across state lines;</w:t>
      </w:r>
    </w:p>
    <w:p>
      <w:pPr>
        <w:spacing w:before="0" w:after="0" w:line="408" w:lineRule="exact"/>
        <w:ind w:left="0" w:right="0" w:firstLine="576"/>
        <w:jc w:val="left"/>
      </w:pPr>
      <w:r>
        <w:rPr/>
        <w:t xml:space="preserve">(ii) Furnishing of marijuana product to minors;</w:t>
      </w:r>
    </w:p>
    <w:p>
      <w:pPr>
        <w:spacing w:before="0" w:after="0" w:line="408" w:lineRule="exact"/>
        <w:ind w:left="0" w:right="0" w:firstLine="576"/>
        <w:jc w:val="left"/>
      </w:pPr>
      <w:r>
        <w:rPr/>
        <w:t xml:space="preserve">(iii) Diversion of revenue to criminal enterprises, gangs, cartels, or parties not qualified to hold a marijuana license based on criminal history requirements;</w:t>
      </w:r>
    </w:p>
    <w:p>
      <w:pPr>
        <w:spacing w:before="0" w:after="0" w:line="408" w:lineRule="exact"/>
        <w:ind w:left="0" w:right="0" w:firstLine="576"/>
        <w:jc w:val="left"/>
      </w:pPr>
      <w:r>
        <w:rPr/>
        <w:t xml:space="preserve">(iv) The commission of nonmarijuana-related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alleged to be, any of the violations identified in (b)(i) through (b)(iv) of this subsection (2);</w:t>
      </w:r>
    </w:p>
    <w:p>
      <w:pPr>
        <w:spacing w:before="0" w:after="0" w:line="408" w:lineRule="exact"/>
        <w:ind w:left="0" w:right="0" w:firstLine="576"/>
        <w:jc w:val="left"/>
      </w:pPr>
      <w:r>
        <w:rPr/>
        <w:t xml:space="preserve">(c) May include cancellation of a license for cumulative violations only if a marijuana licensee commits at least four violations within a two-year period of time;</w:t>
      </w:r>
    </w:p>
    <w:p>
      <w:pPr>
        <w:spacing w:before="0" w:after="0" w:line="408" w:lineRule="exact"/>
        <w:ind w:left="0" w:right="0" w:firstLine="576"/>
        <w:jc w:val="left"/>
      </w:pPr>
      <w:r>
        <w:rPr/>
        <w:t xml:space="preserve">(d) Must consider aggravating and mitigating circumstances and deviate from the prescribed penalties accordingly, and must authorize enforcement officers to do the same, provided that such penalty may not exceed the maximum escalating penalty prescribed by the board for that violation; and</w:t>
      </w:r>
    </w:p>
    <w:p>
      <w:pPr>
        <w:spacing w:before="0" w:after="0" w:line="408" w:lineRule="exact"/>
        <w:ind w:left="0" w:right="0" w:firstLine="576"/>
        <w:jc w:val="left"/>
      </w:pPr>
      <w:r>
        <w:rPr/>
        <w:t xml:space="preserve">(e) Must give substantial consideration to mitigating any penalty imposed on a licensee when there is employee misconduct that led to the
violation and the licensee:</w:t>
      </w:r>
    </w:p>
    <w:p>
      <w:pPr>
        <w:spacing w:before="0" w:after="0" w:line="408" w:lineRule="exact"/>
        <w:ind w:left="0" w:right="0" w:firstLine="576"/>
        <w:jc w:val="left"/>
      </w:pPr>
      <w:r>
        <w:rPr/>
        <w:t xml:space="preserve">(i) Established a compliance program designed to prevent the violation;</w:t>
      </w:r>
    </w:p>
    <w:p>
      <w:pPr>
        <w:spacing w:before="0" w:after="0" w:line="408" w:lineRule="exact"/>
        <w:ind w:left="0" w:right="0" w:firstLine="576"/>
        <w:jc w:val="left"/>
      </w:pPr>
      <w:r>
        <w:rPr/>
        <w:t xml:space="preserve">(ii) Performed meaningful training with employees designed to prevent the violation; and</w:t>
      </w:r>
    </w:p>
    <w:p>
      <w:pPr>
        <w:spacing w:before="0" w:after="0" w:line="408" w:lineRule="exact"/>
        <w:ind w:left="0" w:right="0" w:firstLine="576"/>
        <w:jc w:val="left"/>
      </w:pPr>
      <w:r>
        <w:rPr/>
        <w:t xml:space="preserve">(iii) Had not enabled or ignored the violation or other similar violations in the past.</w:t>
      </w:r>
    </w:p>
    <w:p>
      <w:pPr>
        <w:spacing w:before="0" w:after="0" w:line="408" w:lineRule="exact"/>
        <w:ind w:left="0" w:right="0" w:firstLine="576"/>
        <w:jc w:val="left"/>
      </w:pPr>
      <w:r>
        <w:rPr/>
        <w:t xml:space="preserve">(3) The board may not consider any violation that occurred more than two years prior as grounds for denial, suspension, revocation, cancellation, or nonrenewal, unless the board can prove by a preponderance of the evidence that the prior administrative violation evidences:</w:t>
      </w:r>
    </w:p>
    <w:p>
      <w:pPr>
        <w:spacing w:before="0" w:after="0" w:line="408" w:lineRule="exact"/>
        <w:ind w:left="0" w:right="0" w:firstLine="576"/>
        <w:jc w:val="left"/>
      </w:pPr>
      <w:r>
        <w:rPr/>
        <w:t xml:space="preserve">(a) Diversion of marijuana product to the illicit market or sales across state lines;</w:t>
      </w:r>
    </w:p>
    <w:p>
      <w:pPr>
        <w:spacing w:before="0" w:after="0" w:line="408" w:lineRule="exact"/>
        <w:ind w:left="0" w:right="0" w:firstLine="576"/>
        <w:jc w:val="left"/>
      </w:pPr>
      <w:r>
        <w:rPr/>
        <w:t xml:space="preserve">(b) Furnishing of marijuana product to minors;</w:t>
      </w:r>
    </w:p>
    <w:p>
      <w:pPr>
        <w:spacing w:before="0" w:after="0" w:line="408" w:lineRule="exact"/>
        <w:ind w:left="0" w:right="0" w:firstLine="576"/>
        <w:jc w:val="left"/>
      </w:pPr>
      <w:r>
        <w:rPr/>
        <w:t xml:space="preserve">(c) Diversion of revenue to criminal enterprises, gangs, cartels, or parties not qualified to hold a marijuana license based on criminal history requirements;</w:t>
      </w:r>
    </w:p>
    <w:p>
      <w:pPr>
        <w:spacing w:before="0" w:after="0" w:line="408" w:lineRule="exact"/>
        <w:ind w:left="0" w:right="0" w:firstLine="576"/>
        <w:jc w:val="left"/>
      </w:pPr>
      <w:r>
        <w:rPr/>
        <w:t xml:space="preserve">(d) The commission of nonmarijuana-related crimes; or</w:t>
      </w:r>
    </w:p>
    <w:p>
      <w:pPr>
        <w:spacing w:before="0" w:after="0" w:line="408" w:lineRule="exact"/>
        <w:ind w:left="0" w:right="0" w:firstLine="576"/>
        <w:jc w:val="left"/>
      </w:pPr>
      <w:r>
        <w:rPr/>
        <w:t xml:space="preserve">(e) Knowingly making a misrepresentation of fact to the board, an officer of the board, or an employee of the board related to conduct or an action that is, or is alleged to be, any of the violations identified in (a) through (d)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2017 c 317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w:t>
      </w:r>
      <w:r>
        <w:t>((</w:t>
      </w:r>
      <w:r>
        <w:rPr>
          <w:strike/>
        </w:rPr>
        <w:t xml:space="preserve">state liquor and cannabis</w:t>
      </w:r>
      <w:r>
        <w:t>))</w:t>
      </w:r>
      <w:r>
        <w:rPr/>
        <w:t xml:space="preserve"> board must conduct a comprehensive, fair, and impartial evaluation of the applications timely received.</w:t>
      </w:r>
    </w:p>
    <w:p>
      <w:pPr>
        <w:spacing w:before="0" w:after="0" w:line="408" w:lineRule="exact"/>
        <w:ind w:left="0" w:right="0" w:firstLine="576"/>
        <w:jc w:val="left"/>
      </w:pPr>
      <w:r>
        <w:rPr/>
        <w:t xml:space="preserve">(a) The </w:t>
      </w:r>
      <w:r>
        <w:t>((</w:t>
      </w:r>
      <w:r>
        <w:rPr>
          <w:strike/>
        </w:rPr>
        <w:t xml:space="preserve">state liquor and cannabis</w:t>
      </w:r>
      <w:r>
        <w:t>))</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w:t>
      </w:r>
      <w:r>
        <w:rPr>
          <w:u w:val="single"/>
        </w:rPr>
        <w:t xml:space="preserve">cancellation,</w:t>
      </w:r>
      <w:r>
        <w:rPr/>
        <w:t xml:space="preserve"> or renewal or denial thereof, of any license, the </w:t>
      </w:r>
      <w:r>
        <w:t>((</w:t>
      </w:r>
      <w:r>
        <w:rPr>
          <w:strike/>
        </w:rPr>
        <w:t xml:space="preserve">state liquor and cannabis</w:t>
      </w:r>
      <w:r>
        <w:t>))</w:t>
      </w:r>
      <w:r>
        <w:rPr/>
        <w:t xml:space="preserve"> board may consider any prior criminal </w:t>
      </w:r>
      <w:r>
        <w:t>((</w:t>
      </w:r>
      <w:r>
        <w:rPr>
          <w:strike/>
        </w:rPr>
        <w:t xml:space="preserve">conduct</w:t>
      </w:r>
      <w:r>
        <w:t>))</w:t>
      </w:r>
      <w:r>
        <w:rPr/>
        <w:t xml:space="preserve"> </w:t>
      </w:r>
      <w:r>
        <w:rPr>
          <w:u w:val="single"/>
        </w:rPr>
        <w:t xml:space="preserve">arrests or convictions</w:t>
      </w:r>
      <w:r>
        <w:rPr/>
        <w:t xml:space="preserve"> of the applicant </w:t>
      </w:r>
      <w:r>
        <w:t>((</w:t>
      </w:r>
      <w:r>
        <w:rPr>
          <w:strike/>
        </w:rPr>
        <w:t xml:space="preserve">including an</w:t>
      </w:r>
      <w:r>
        <w:t>))</w:t>
      </w:r>
      <w:r>
        <w:rPr>
          <w:u w:val="single"/>
        </w:rPr>
        <w:t xml:space="preserve">, any public safety</w:t>
      </w:r>
      <w:r>
        <w:rPr/>
        <w:t xml:space="preserve"> administrative violation history record with the </w:t>
      </w:r>
      <w:r>
        <w:t>((</w:t>
      </w:r>
      <w:r>
        <w:rPr>
          <w:strike/>
        </w:rPr>
        <w:t xml:space="preserve">state liquor and cannabis</w:t>
      </w:r>
      <w:r>
        <w:t>))</w:t>
      </w:r>
      <w:r>
        <w:rPr/>
        <w:t xml:space="preserve"> board</w:t>
      </w:r>
      <w:r>
        <w:rPr>
          <w:u w:val="single"/>
        </w:rPr>
        <w:t xml:space="preserve">,</w:t>
      </w:r>
      <w:r>
        <w:rPr/>
        <w:t xml:space="preserve"> and a criminal history record information check. The </w:t>
      </w:r>
      <w:r>
        <w:t>((</w:t>
      </w:r>
      <w:r>
        <w:rPr>
          <w:strike/>
        </w:rPr>
        <w:t xml:space="preserve">state liquor and cannabis</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and cannabis</w:t>
      </w:r>
      <w:r>
        <w:t>))</w:t>
      </w:r>
      <w:r>
        <w:rPr/>
        <w:t xml:space="preserv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w:t>
      </w:r>
      <w:r>
        <w:t>((</w:t>
      </w:r>
      <w:r>
        <w:rPr>
          <w:strike/>
        </w:rPr>
        <w:t xml:space="preserve">state liquor and cannabis</w:t>
      </w:r>
      <w:r>
        <w:t>))</w:t>
      </w:r>
      <w:r>
        <w:rPr/>
        <w:t xml:space="preserv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w:t>
      </w:r>
      <w:r>
        <w:t>((</w:t>
      </w:r>
      <w:r>
        <w:rPr>
          <w:strike/>
        </w:rPr>
        <w:t xml:space="preserve">state liquor and cannabis</w:t>
      </w:r>
      <w:r>
        <w:t>))</w:t>
      </w:r>
      <w:r>
        <w:rPr/>
        <w:t xml:space="preserv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w:t>
      </w:r>
      <w:r>
        <w:t>((</w:t>
      </w:r>
      <w:r>
        <w:rPr>
          <w:strike/>
        </w:rPr>
        <w:t xml:space="preserve">state liquor and cannabis</w:t>
      </w:r>
      <w:r>
        <w:t>))</w:t>
      </w:r>
      <w:r>
        <w:rPr/>
        <w:t xml:space="preserve"> board may, in its discretion, subject to </w:t>
      </w:r>
      <w:r>
        <w:t>((</w:t>
      </w:r>
      <w:r>
        <w:rPr>
          <w:strike/>
        </w:rPr>
        <w:t xml:space="preserve">the provisions of</w:t>
      </w:r>
      <w:r>
        <w:t>))</w:t>
      </w:r>
      <w:r>
        <w:rPr/>
        <w:t xml:space="preserve"> </w:t>
      </w:r>
      <w:r>
        <w:rPr>
          <w:u w:val="single"/>
        </w:rPr>
        <w:t xml:space="preserve">sections 2, 3, and 6 of this act,</w:t>
      </w:r>
      <w:r>
        <w:rPr/>
        <w:t xml:space="preserve"> RCW 69.50.334, </w:t>
      </w:r>
      <w:r>
        <w:rPr>
          <w:u w:val="single"/>
        </w:rPr>
        <w:t xml:space="preserve">and 69.50.342(3)</w:t>
      </w:r>
      <w:r>
        <w:rPr/>
        <w:t xml:space="preserve">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w:t>
      </w:r>
      <w:r>
        <w:t>((</w:t>
      </w:r>
      <w:r>
        <w:rPr>
          <w:strike/>
        </w:rPr>
        <w:t xml:space="preserve">state liquor and cannabis</w:t>
      </w:r>
      <w:r>
        <w:t>))</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w:t>
      </w:r>
      <w:r>
        <w:t>((</w:t>
      </w:r>
      <w:r>
        <w:rPr>
          <w:strike/>
        </w:rPr>
        <w:t xml:space="preserve">state liquor and cannabis</w:t>
      </w:r>
      <w:r>
        <w:t>))</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w:t>
      </w:r>
      <w:r>
        <w:t>((</w:t>
      </w:r>
      <w:r>
        <w:rPr>
          <w:strike/>
        </w:rPr>
        <w:t xml:space="preserve">and to</w:t>
      </w:r>
      <w:r>
        <w:t>))</w:t>
      </w:r>
      <w:r>
        <w:rPr/>
        <w:t xml:space="preserve"> receive testimony in any inquiry, investigation, hearing, or proceeding in any part of the state, </w:t>
      </w:r>
      <w:r>
        <w:rPr>
          <w:u w:val="single"/>
        </w:rPr>
        <w:t xml:space="preserve">and consider mitigating and aggravating circumstances in any case and deviate from any prescribed penalty,</w:t>
      </w:r>
      <w:r>
        <w:rPr/>
        <w:t xml:space="preserve"> under rules </w:t>
      </w:r>
      <w:r>
        <w:t>((</w:t>
      </w:r>
      <w:r>
        <w:rPr>
          <w:strike/>
        </w:rPr>
        <w:t xml:space="preserve">and regulations</w:t>
      </w:r>
      <w:r>
        <w:t>))</w:t>
      </w:r>
      <w:r>
        <w:rPr/>
        <w:t xml:space="preserve"> the </w:t>
      </w:r>
      <w:r>
        <w:t>((</w:t>
      </w:r>
      <w:r>
        <w:rPr>
          <w:strike/>
        </w:rPr>
        <w:t xml:space="preserve">state liquor and cannabis</w:t>
      </w:r>
      <w:r>
        <w:t>))</w:t>
      </w:r>
      <w:r>
        <w:rPr/>
        <w:t xml:space="preserv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w:t>
      </w:r>
      <w:r>
        <w:t>((</w:t>
      </w:r>
      <w:r>
        <w:rPr>
          <w:strike/>
        </w:rPr>
        <w:t xml:space="preserve">state liquor and cannabis</w:t>
      </w:r>
      <w:r>
        <w:t>))</w:t>
      </w:r>
      <w:r>
        <w:rPr/>
        <w:t xml:space="preserve"> board or a subpoena issued by the </w:t>
      </w:r>
      <w:r>
        <w:t>((</w:t>
      </w:r>
      <w:r>
        <w:rPr>
          <w:strike/>
        </w:rPr>
        <w:t xml:space="preserve">state liquor and cannabis</w:t>
      </w:r>
      <w:r>
        <w:t>))</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w:t>
      </w:r>
      <w:r>
        <w:t>((</w:t>
      </w:r>
      <w:r>
        <w:rPr>
          <w:strike/>
        </w:rPr>
        <w:t xml:space="preserve">state liquor and cannabis</w:t>
      </w:r>
      <w:r>
        <w:t>))</w:t>
      </w:r>
      <w:r>
        <w:rPr/>
        <w:t xml:space="preserve"> board. Where the license has been suspended only, the </w:t>
      </w:r>
      <w:r>
        <w:t>((</w:t>
      </w:r>
      <w:r>
        <w:rPr>
          <w:strike/>
        </w:rPr>
        <w:t xml:space="preserve">state liquor and cannabis</w:t>
      </w:r>
      <w:r>
        <w:t>))</w:t>
      </w:r>
      <w:r>
        <w:rPr/>
        <w:t xml:space="preserve"> board must return the license to the licensee at the expiration or termination of the period of suspension. The </w:t>
      </w:r>
      <w:r>
        <w:t>((</w:t>
      </w:r>
      <w:r>
        <w:rPr>
          <w:strike/>
        </w:rPr>
        <w:t xml:space="preserve">state liquor and cannabis</w:t>
      </w:r>
      <w:r>
        <w:t>))</w:t>
      </w:r>
      <w:r>
        <w:rPr/>
        <w:t xml:space="preserv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w:t>
      </w:r>
      <w:r>
        <w:t>((</w:t>
      </w:r>
      <w:r>
        <w:rPr>
          <w:strike/>
        </w:rPr>
        <w:t xml:space="preserve">state liquor and cannabis</w:t>
      </w:r>
      <w:r>
        <w:t>))</w:t>
      </w:r>
      <w:r>
        <w:rPr/>
        <w:t xml:space="preserve"> board to implement and enforce this chapter. All conditions and restrictions imposed by the </w:t>
      </w:r>
      <w:r>
        <w:t>((</w:t>
      </w:r>
      <w:r>
        <w:rPr>
          <w:strike/>
        </w:rPr>
        <w:t xml:space="preserve">state liquor and cannabis</w:t>
      </w:r>
      <w:r>
        <w:t>))</w:t>
      </w:r>
      <w:r>
        <w:rPr/>
        <w:t xml:space="preserv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w:t>
      </w:r>
      <w:r>
        <w:t>((</w:t>
      </w:r>
      <w:r>
        <w:rPr>
          <w:strike/>
        </w:rPr>
        <w:t xml:space="preserve">state liquor and cannabis</w:t>
      </w:r>
      <w:r>
        <w:t>))</w:t>
      </w:r>
      <w:r>
        <w:rPr/>
        <w:t xml:space="preserv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w:t>
      </w:r>
      <w:r>
        <w:t>((</w:t>
      </w:r>
      <w:r>
        <w:rPr>
          <w:strike/>
        </w:rPr>
        <w:t xml:space="preserve">state liquor and cannabis</w:t>
      </w:r>
      <w:r>
        <w:t>))</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w:t>
      </w:r>
      <w:r>
        <w:t>((</w:t>
      </w:r>
      <w:r>
        <w:rPr>
          <w:strike/>
        </w:rPr>
        <w:t xml:space="preserve">state liquor and cannabis</w:t>
      </w:r>
      <w:r>
        <w:t>))</w:t>
      </w:r>
      <w:r>
        <w:rPr/>
        <w:t xml:space="preserve"> board may extend the time period for submitting written objections upon request from the authority notified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w:t>
      </w:r>
      <w:r>
        <w:t>((</w:t>
      </w:r>
      <w:r>
        <w:rPr>
          <w:strike/>
        </w:rPr>
        <w:t xml:space="preserve">state liquor and cannabis</w:t>
      </w:r>
      <w:r>
        <w:t>))</w:t>
      </w:r>
      <w:r>
        <w:rPr/>
        <w:t xml:space="preserve"> board may in its discretion hold, a hearing subject to the applicable provisions of Title 34 RCW. If the </w:t>
      </w:r>
      <w:r>
        <w:t>((</w:t>
      </w:r>
      <w:r>
        <w:rPr>
          <w:strike/>
        </w:rPr>
        <w:t xml:space="preserve">state liquor and cannabis</w:t>
      </w:r>
      <w:r>
        <w:t>))</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w:t>
      </w:r>
      <w:r>
        <w:t>((</w:t>
      </w:r>
      <w:r>
        <w:rPr>
          <w:strike/>
        </w:rPr>
        <w:t xml:space="preserve">state liquor and cannabis</w:t>
      </w:r>
      <w:r>
        <w:t>))</w:t>
      </w:r>
      <w:r>
        <w:rPr/>
        <w:t xml:space="preserve"> board representatives must present and defend the </w:t>
      </w:r>
      <w:r>
        <w:t>((</w:t>
      </w:r>
      <w:r>
        <w:rPr>
          <w:strike/>
        </w:rPr>
        <w:t xml:space="preserve">state liquor and cannabis</w:t>
      </w:r>
      <w:r>
        <w:t>))</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w:t>
      </w:r>
      <w:r>
        <w:t>((</w:t>
      </w:r>
      <w:r>
        <w:rPr>
          <w:strike/>
        </w:rPr>
        <w:t xml:space="preserve">state liquor and cannabis</w:t>
      </w:r>
      <w:r>
        <w:t>))</w:t>
      </w:r>
      <w:r>
        <w:rPr/>
        <w:t xml:space="preserv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w:t>
      </w:r>
      <w:r>
        <w:t>((</w:t>
      </w:r>
      <w:r>
        <w:rPr>
          <w:strike/>
        </w:rPr>
        <w:t xml:space="preserve">state liquor and cannabis</w:t>
      </w:r>
      <w:r>
        <w:t>))</w:t>
      </w:r>
      <w:r>
        <w:rPr/>
        <w:t xml:space="preserv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w:t>
      </w:r>
      <w:r>
        <w:t>((</w:t>
      </w:r>
      <w:r>
        <w:rPr>
          <w:strike/>
        </w:rPr>
        <w:t xml:space="preserve">state liquor and cannabis</w:t>
      </w:r>
      <w:r>
        <w:t>))</w:t>
      </w:r>
      <w:r>
        <w:rPr/>
        <w:t xml:space="preserv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w:t>
      </w:r>
      <w:r>
        <w:t>((</w:t>
      </w:r>
      <w:r>
        <w:rPr>
          <w:strike/>
        </w:rPr>
        <w:t xml:space="preserve">state liquor and cannabis</w:t>
      </w:r>
      <w:r>
        <w:t>))</w:t>
      </w:r>
      <w:r>
        <w:rPr/>
        <w:t xml:space="preserv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w:t>
      </w:r>
      <w:r>
        <w:t>((</w:t>
      </w:r>
      <w:r>
        <w:rPr>
          <w:strike/>
        </w:rPr>
        <w:t xml:space="preserve">state liquor and cannabis</w:t>
      </w:r>
      <w:r>
        <w:t>))</w:t>
      </w:r>
      <w:r>
        <w:rPr/>
        <w:t xml:space="preserv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This section applies to the board's issuance of administrative violations to licensed marijuana producers, processors, retailers, transporters, and researchers, when a settlement conference is held between a hearing officer or designee of the board and the marijuana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marijuana licensee and a hearing officer or designee of the board at or after a settlement conference, the terms of the settlement agreement must be given substantial weight by the board.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marijuana producer, processor, retailer, researcher, transporter, or researcher and the hearing officer or designee of the board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officer or designee of the board.</w:t>
      </w:r>
    </w:p>
    <w:p>
      <w:pPr>
        <w:spacing w:before="0" w:after="0" w:line="408" w:lineRule="exact"/>
        <w:ind w:left="0" w:right="0" w:firstLine="576"/>
        <w:jc w:val="left"/>
      </w:pPr>
      <w:r>
        <w:rPr/>
        <w:t xml:space="preserve">(b) "Settlement conference" means a meeting or discussion between a licensed marijuana producer, processor, retailer, researcher, transporter, researcher, or authorized representative of any of the preceding licensees, and a hearing officer or designee of the board,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(ww) "Board" means the Washington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2018 c 201 s 8008, 2018 c 196 s 21, and 2018 c 4 s 9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u w:val="single"/>
        </w:rPr>
        <w:t xml:space="preserve">(c) Valuable formulae or financial or proprietary commercial information records received during a consultative visit or while providing consultative services to a licensed marijuana business in accordance with section 5 of this act;</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 and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 and</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890e68a5a44c9f" /></Relationships>
</file>