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4a5cf148284988"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DYEM</w:t>
        </w:r>
      </w:r>
      <w:r>
        <w:rPr>
          <w:b/>
        </w:rPr>
        <w:t xml:space="preserve"> </w:t>
        <w:r>
          <w:rPr/>
          <w:t xml:space="preserve">H5002.1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 TO H AMD (H-4987.1/20)</w:t>
      </w:r>
      <w:r>
        <w:t xml:space="preserve"> </w:t>
      </w:r>
      <w:r>
        <w:rPr>
          <w:b/>
        </w:rPr>
        <w:t xml:space="preserve">1446</w:t>
      </w:r>
    </w:p>
    <w:p>
      <w:pPr>
        <w:spacing w:before="0" w:after="0" w:line="408" w:lineRule="exact"/>
        <w:ind w:left="0" w:right="0" w:firstLine="576"/>
        <w:jc w:val="left"/>
      </w:pPr>
      <w:r>
        <w:rPr/>
        <w:t xml:space="preserve">By Representative Dye</w:t>
      </w:r>
    </w:p>
    <w:p>
      <w:pPr>
        <w:jc w:val="right"/>
      </w:pPr>
    </w:p>
    <w:p>
      <w:pPr>
        <w:spacing w:before="0" w:after="0" w:line="408" w:lineRule="exact"/>
        <w:ind w:left="0" w:right="0" w:firstLine="576"/>
        <w:jc w:val="left"/>
      </w:pPr>
      <w:r>
        <w:rPr/>
        <w:t xml:space="preserve">On page 3, line 1, after "(4)" insert "Prior to implementing a beneficial electrification plan adopted under this section, a governing authority must submit the plan for review by the public counsel unit of the office of the attorney general, which must determine that the beneficial electrification plan will do no harm to ratepayers of regulated natural gas companies.</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4, line 36, after "(4)" insert "Prior to implementing a beneficial electrification plan adopted under this section, the commission of a public utility district must submit the plan for review by the public counsel unit of the office of the attorney general, which must determine that the beneficial electrification plan will do no harm to ratepayers of regulated natural gas companies.</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governing body of a municipal electric utility or public utility district to submit a beneficial electrification plan for review by the public counsel unit of the office of the attorney general, which must determine that the beneficial electrification plan will do no harm to ratepayers of regulated natural gas companies.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859f9dcb754574" /></Relationships>
</file>