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1b18bc9b364946" /></Relationships>
</file>

<file path=word/document.xml><?xml version="1.0" encoding="utf-8"?>
<w:document xmlns:w="http://schemas.openxmlformats.org/wordprocessingml/2006/main">
  <w:body>
    <w:p>
      <w:r>
        <w:rPr>
          <w:b/>
        </w:rPr>
        <w:r>
          <w:rPr/>
          <w:t xml:space="preserve">2157-S2</w:t>
        </w:r>
      </w:r>
      <w:r>
        <w:rPr>
          <w:b/>
        </w:rPr>
        <w:t xml:space="preserve"> </w:t>
        <w:t xml:space="preserve">AMH</w:t>
      </w:r>
      <w:r>
        <w:rPr>
          <w:b/>
        </w:rPr>
        <w:t xml:space="preserve"> </w:t>
        <w:r>
          <w:rPr/>
          <w:t xml:space="preserve">VICK</w:t>
        </w:r>
      </w:r>
      <w:r>
        <w:rPr>
          <w:b/>
        </w:rPr>
        <w:t xml:space="preserve"> </w:t>
        <w:r>
          <w:rPr/>
          <w:t xml:space="preserve">H3051.2</w:t>
        </w:r>
      </w:r>
      <w:r>
        <w:rPr>
          <w:b/>
        </w:rPr>
        <w:t xml:space="preserve"> - NOT FOR FLOOR USE</w:t>
      </w:r>
    </w:p>
    <w:p>
      <w:pPr>
        <w:ind w:left="0" w:right="0" w:firstLine="576"/>
      </w:pPr>
    </w:p>
    <w:p>
      <w:pPr>
        <w:spacing w:before="480" w:after="0" w:line="408" w:lineRule="exact"/>
      </w:pPr>
      <w:r>
        <w:rPr>
          <w:b/>
          <w:u w:val="single"/>
        </w:rPr>
        <w:t xml:space="preserve">2SHB 2157</w:t>
      </w:r>
      <w:r>
        <w:t xml:space="preserve"> -</w:t>
      </w:r>
      <w:r>
        <w:t xml:space="preserve"> </w:t>
        <w:t xml:space="preserve">H AMD</w:t>
      </w:r>
      <w:r>
        <w:t xml:space="preserve"> </w:t>
      </w:r>
      <w:r>
        <w:rPr>
          <w:b/>
        </w:rPr>
        <w:t xml:space="preserve">793</w:t>
      </w:r>
    </w:p>
    <w:p>
      <w:pPr>
        <w:spacing w:before="0" w:after="0" w:line="408" w:lineRule="exact"/>
        <w:ind w:left="0" w:right="0" w:firstLine="576"/>
        <w:jc w:val="left"/>
      </w:pPr>
      <w:r>
        <w:rPr/>
        <w:t xml:space="preserve">By Representative Vick</w:t>
      </w:r>
    </w:p>
    <w:p>
      <w:pPr>
        <w:jc w:val="right"/>
      </w:pPr>
      <w:r>
        <w:rPr>
          <w:b/>
        </w:rPr>
        <w:t xml:space="preserve">NOT CONSIDERED 12/23/2019</w:t>
      </w:r>
    </w:p>
    <w:p>
      <w:pPr>
        <w:spacing w:before="0" w:after="0" w:line="408" w:lineRule="exact"/>
        <w:ind w:left="0" w:right="0" w:firstLine="576"/>
        <w:jc w:val="left"/>
      </w:pPr>
      <w:r>
        <w:rPr/>
        <w:t xml:space="preserve">On page 15, after line 36,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402</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border community mitigation account is created in the state treasury.</w:t>
      </w:r>
    </w:p>
    <w:p>
      <w:pPr>
        <w:spacing w:before="0" w:after="0" w:line="408" w:lineRule="exact"/>
        <w:ind w:left="0" w:right="0" w:firstLine="576"/>
        <w:jc w:val="left"/>
      </w:pPr>
      <w:r>
        <w:rPr/>
        <w:t xml:space="preserve">(2) Expenditures from the account may be used only for the support of border communities impacted by the imposition of the remittance program created in RCW 82.08.0273.</w:t>
      </w:r>
    </w:p>
    <w:p>
      <w:pPr>
        <w:spacing w:before="0" w:after="0" w:line="408" w:lineRule="exact"/>
        <w:ind w:left="0" w:right="0" w:firstLine="576"/>
        <w:jc w:val="left"/>
      </w:pPr>
      <w:r>
        <w:rPr/>
        <w:t xml:space="preserve">(a) Transfers pursuant to section 403 of this act must be used for grants to border community local taxing districts.</w:t>
      </w:r>
    </w:p>
    <w:p>
      <w:pPr>
        <w:spacing w:before="0" w:after="0" w:line="408" w:lineRule="exact"/>
        <w:ind w:left="0" w:right="0" w:firstLine="576"/>
        <w:jc w:val="left"/>
      </w:pPr>
      <w:r>
        <w:rPr/>
        <w:t xml:space="preserve">(b) Other moneys deposited into the account may be used for border community retail business compliance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In order to mitigate the local sales tax revenue net losses as the result of the remittance program created in RCW 82.08.0273, the state treasurer must transfer, on January 1, 2020, and each January 1st thereafter, into the border county mitigation account from the general fund, the sum required to mitigate actual net losses as determined under this section.</w:t>
      </w:r>
    </w:p>
    <w:p>
      <w:pPr>
        <w:spacing w:before="0" w:after="0" w:line="408" w:lineRule="exact"/>
        <w:ind w:left="0" w:right="0" w:firstLine="576"/>
        <w:jc w:val="left"/>
      </w:pPr>
      <w:r>
        <w:rPr/>
        <w:t xml:space="preserve">(2) Beginning January 1, 2020, and continuing until the department determines annual losses have ceased, the department must determine the amount of local sales tax net loss each border community local taxing district experiences as a result of the change of the nonresident sales tax exemption into a remittance program each calendar quarter. The department must determine losses by analyzing and comparing data from tax return information and tax collections for each border community local taxing district before and after July 1, 2019. Beginning June 30, 2020, distributions must be made quarterly from the border community mitigation account by the state treasurer, as determined by the department, to each border community local taxing district receiving a grant in an amount representing its net losses for the previous calendar quarter. Distributions must be made on the last working day of the quarter.</w:t>
      </w:r>
    </w:p>
    <w:p>
      <w:pPr>
        <w:spacing w:before="0" w:after="0" w:line="408" w:lineRule="exact"/>
        <w:ind w:left="0" w:right="0" w:firstLine="576"/>
        <w:jc w:val="left"/>
      </w:pPr>
      <w:r>
        <w:rPr/>
        <w:t xml:space="preserve">(3) Beginning January 1, 2020, applications may be made quarterly to the border community mitigation account by border community taxing districts and border community businesses.</w:t>
      </w:r>
    </w:p>
    <w:p>
      <w:pPr>
        <w:spacing w:before="0" w:after="0" w:line="408" w:lineRule="exact"/>
        <w:ind w:left="0" w:right="0" w:firstLine="576"/>
        <w:jc w:val="left"/>
      </w:pPr>
      <w:r>
        <w:rPr/>
        <w:t xml:space="preserve">(a) A border community local taxing district may apply for a grant in an amount up to their net sales tax loss for the previous quarter as the result of the nonresident sales tax exemption remittance program. Applications must be submitted in the time and manner established by the department.</w:t>
      </w:r>
    </w:p>
    <w:p>
      <w:pPr>
        <w:spacing w:before="0" w:after="0" w:line="408" w:lineRule="exact"/>
        <w:ind w:left="0" w:right="0" w:firstLine="576"/>
        <w:jc w:val="left"/>
      </w:pPr>
      <w:r>
        <w:rPr/>
        <w:t xml:space="preserve">(b) The border community retail business compliance grant program is established and must be administered by the department.</w:t>
      </w:r>
    </w:p>
    <w:p>
      <w:pPr>
        <w:spacing w:before="0" w:after="0" w:line="408" w:lineRule="exact"/>
        <w:ind w:left="0" w:right="0" w:firstLine="576"/>
        <w:jc w:val="left"/>
      </w:pPr>
      <w:r>
        <w:rPr/>
        <w:t xml:space="preserve">(i) A border community retail business may apply for compliance cost reimbursement that results from the change of the nonresident sales tax exemption to a remittance. This includes costs associated with providing necessary documentation for a nonresident remittance application, remittance application assistance, and educational materials.</w:t>
      </w:r>
    </w:p>
    <w:p>
      <w:pPr>
        <w:spacing w:before="0" w:after="0" w:line="408" w:lineRule="exact"/>
        <w:ind w:left="0" w:right="0" w:firstLine="576"/>
        <w:jc w:val="left"/>
      </w:pPr>
      <w:r>
        <w:rPr/>
        <w:t xml:space="preserve">(ii) The department must develop criteria and application requirements for the border community retail business compliance grant program.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"Border community local taxing district" means a local taxing district located in a county that shares a border with a state that does not impose a state retail sales and use tax.</w:t>
      </w:r>
    </w:p>
    <w:p>
      <w:pPr>
        <w:spacing w:before="0" w:after="0" w:line="408" w:lineRule="exact"/>
        <w:ind w:left="0" w:right="0" w:firstLine="576"/>
        <w:jc w:val="left"/>
      </w:pPr>
      <w:r>
        <w:rPr/>
        <w:t xml:space="preserve">(b) "Border community retail business" means a retail business open to the general public and located in a county that shares a border with a state that does not impose a state sales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biennium ending June 30, 2021, from the general fund to the border community mitigation account created in section 402 of this act for the purposes of funding border community compliance grants."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Creates a border community mitigation account and grant program to assist border community local taxing districts and retail businesses impacted by the change to the nonresident tax exemption. Appropriates one million dollars for the 2019-2021 biennium for the border community retail business compliance grant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67c9b96e2444dc" /></Relationships>
</file>